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16823" w14:textId="757B54E0" w:rsidR="00B34D4D" w:rsidRDefault="00B34D4D" w:rsidP="00BF49B9">
      <w:pPr>
        <w:spacing w:after="0" w:line="240" w:lineRule="auto"/>
      </w:pPr>
      <w:bookmarkStart w:id="0" w:name="_GoBack"/>
      <w:bookmarkEnd w:id="0"/>
    </w:p>
    <w:p w14:paraId="6404DEC1" w14:textId="77777777" w:rsidR="00F90F97" w:rsidRDefault="00F90F97" w:rsidP="00BF49B9">
      <w:pPr>
        <w:spacing w:after="0" w:line="240" w:lineRule="auto"/>
      </w:pPr>
    </w:p>
    <w:p w14:paraId="29E27C5D" w14:textId="77777777" w:rsidR="00E16436" w:rsidRDefault="00E16436" w:rsidP="00BF49B9">
      <w:pPr>
        <w:spacing w:after="0" w:line="240" w:lineRule="auto"/>
      </w:pPr>
    </w:p>
    <w:p w14:paraId="70C9C4FD" w14:textId="77777777" w:rsidR="00E16436" w:rsidRDefault="00E16436" w:rsidP="00BF49B9">
      <w:pPr>
        <w:spacing w:after="0" w:line="240" w:lineRule="auto"/>
      </w:pPr>
    </w:p>
    <w:p w14:paraId="07970983" w14:textId="77777777" w:rsidR="00E16436" w:rsidRDefault="00E16436" w:rsidP="00BF49B9">
      <w:pPr>
        <w:spacing w:after="0" w:line="240" w:lineRule="auto"/>
      </w:pPr>
    </w:p>
    <w:p w14:paraId="485493C5" w14:textId="77777777" w:rsidR="00E16436" w:rsidRDefault="00E16436" w:rsidP="00BF49B9">
      <w:pPr>
        <w:spacing w:after="0" w:line="240" w:lineRule="auto"/>
      </w:pPr>
    </w:p>
    <w:p w14:paraId="6FB5DAB5" w14:textId="77777777" w:rsidR="00E16436" w:rsidRDefault="00E16436" w:rsidP="00BF49B9">
      <w:pPr>
        <w:spacing w:after="0" w:line="240" w:lineRule="auto"/>
      </w:pPr>
    </w:p>
    <w:p w14:paraId="2E945268" w14:textId="77777777" w:rsidR="00E16436" w:rsidRDefault="00E16436" w:rsidP="00BF49B9">
      <w:pPr>
        <w:spacing w:after="0" w:line="240" w:lineRule="auto"/>
      </w:pPr>
    </w:p>
    <w:p w14:paraId="0B2A34FA" w14:textId="77777777" w:rsidR="00E16436" w:rsidRDefault="00E16436" w:rsidP="00BF49B9">
      <w:pPr>
        <w:spacing w:after="0" w:line="240" w:lineRule="auto"/>
      </w:pPr>
    </w:p>
    <w:p w14:paraId="6D3F2273" w14:textId="77777777" w:rsidR="00E16436" w:rsidRDefault="00E16436" w:rsidP="00BF49B9">
      <w:pPr>
        <w:spacing w:after="0" w:line="240" w:lineRule="auto"/>
      </w:pPr>
    </w:p>
    <w:p w14:paraId="2A19887F" w14:textId="77777777" w:rsidR="00E16436" w:rsidRDefault="00E16436" w:rsidP="00BF49B9">
      <w:pPr>
        <w:spacing w:after="0" w:line="240" w:lineRule="auto"/>
      </w:pPr>
    </w:p>
    <w:p w14:paraId="30962736" w14:textId="77777777" w:rsidR="00E16436" w:rsidRDefault="00E16436" w:rsidP="00BF49B9">
      <w:pPr>
        <w:spacing w:after="0" w:line="240" w:lineRule="auto"/>
      </w:pPr>
    </w:p>
    <w:p w14:paraId="0B6B0981" w14:textId="77777777" w:rsidR="00E16436" w:rsidRDefault="00E16436" w:rsidP="00BF49B9">
      <w:pPr>
        <w:spacing w:after="0" w:line="240" w:lineRule="auto"/>
      </w:pPr>
    </w:p>
    <w:p w14:paraId="245846E6" w14:textId="77777777" w:rsidR="00E16436" w:rsidRDefault="00E16436" w:rsidP="00BF49B9">
      <w:pPr>
        <w:spacing w:after="0" w:line="240" w:lineRule="auto"/>
      </w:pPr>
    </w:p>
    <w:p w14:paraId="69A49F66" w14:textId="58ED98B2" w:rsidR="00E16436" w:rsidRDefault="00C34538"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r>
        <w:rPr>
          <w:rFonts w:eastAsia="Batang" w:cs="Times New Roman"/>
          <w:b/>
          <w:bCs/>
          <w:szCs w:val="24"/>
          <w:lang w:val="es-ES_tradnl" w:eastAsia="es-ES"/>
        </w:rPr>
        <w:t>EJERCICIO 2020</w:t>
      </w:r>
    </w:p>
    <w:p w14:paraId="6B83EE95" w14:textId="77777777" w:rsidR="00551C7D" w:rsidRDefault="00551C7D"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p>
    <w:p w14:paraId="3F64C4DD" w14:textId="77777777" w:rsidR="00551C7D" w:rsidRPr="00E16436" w:rsidRDefault="00551C7D"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r>
        <w:rPr>
          <w:rFonts w:eastAsia="Batang" w:cs="Times New Roman"/>
          <w:b/>
          <w:bCs/>
          <w:szCs w:val="24"/>
          <w:lang w:val="es-ES_tradnl" w:eastAsia="es-ES"/>
        </w:rPr>
        <w:t>ALIMENTOS Y ACEITES S.A. S.M.E.</w:t>
      </w:r>
    </w:p>
    <w:p w14:paraId="17E11A25" w14:textId="77777777" w:rsidR="00E16436" w:rsidRPr="00E16436" w:rsidRDefault="00E16436"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p>
    <w:p w14:paraId="31B4B856" w14:textId="77777777" w:rsidR="00E16436" w:rsidRPr="00E16436" w:rsidRDefault="00E16436"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r w:rsidRPr="00E16436">
        <w:rPr>
          <w:rFonts w:eastAsia="Batang" w:cs="Times New Roman"/>
          <w:b/>
          <w:bCs/>
          <w:szCs w:val="24"/>
          <w:lang w:val="es-ES_tradnl" w:eastAsia="es-ES"/>
        </w:rPr>
        <w:t xml:space="preserve">Cuentas Anuales e Informe de Gestión, </w:t>
      </w:r>
    </w:p>
    <w:p w14:paraId="7D108C3C" w14:textId="77777777" w:rsidR="00E16436" w:rsidRPr="00E16436" w:rsidRDefault="00E16436" w:rsidP="00E16436">
      <w:pPr>
        <w:overflowPunct w:val="0"/>
        <w:autoSpaceDE w:val="0"/>
        <w:autoSpaceDN w:val="0"/>
        <w:adjustRightInd w:val="0"/>
        <w:spacing w:after="0" w:line="240" w:lineRule="auto"/>
        <w:ind w:right="405"/>
        <w:jc w:val="center"/>
        <w:textAlignment w:val="baseline"/>
        <w:rPr>
          <w:rFonts w:eastAsia="Batang" w:cs="Times New Roman"/>
          <w:b/>
          <w:bCs/>
          <w:szCs w:val="24"/>
          <w:lang w:val="es-ES_tradnl" w:eastAsia="es-ES"/>
        </w:rPr>
      </w:pPr>
      <w:r w:rsidRPr="00E16436">
        <w:rPr>
          <w:rFonts w:eastAsia="Batang" w:cs="Times New Roman"/>
          <w:b/>
          <w:bCs/>
          <w:szCs w:val="24"/>
          <w:lang w:val="es-ES_tradnl" w:eastAsia="es-ES"/>
        </w:rPr>
        <w:t>Junto con el Informe de Auditoría</w:t>
      </w:r>
    </w:p>
    <w:p w14:paraId="7EE0E78F" w14:textId="7C20F5A4" w:rsidR="00F90F97" w:rsidRDefault="00C34538" w:rsidP="00E16436">
      <w:pPr>
        <w:spacing w:after="0" w:line="240" w:lineRule="auto"/>
        <w:jc w:val="center"/>
      </w:pPr>
      <w:r>
        <w:rPr>
          <w:rFonts w:eastAsia="Batang" w:cs="Times New Roman"/>
          <w:b/>
          <w:bCs/>
          <w:szCs w:val="24"/>
          <w:lang w:val="es-ES_tradnl" w:eastAsia="es-ES"/>
        </w:rPr>
        <w:t>31 de diciembre de 2020</w:t>
      </w:r>
    </w:p>
    <w:p w14:paraId="15204C44" w14:textId="77777777" w:rsidR="00F90F97" w:rsidRDefault="00F90F97" w:rsidP="00BF49B9">
      <w:pPr>
        <w:spacing w:after="0" w:line="240" w:lineRule="auto"/>
      </w:pPr>
    </w:p>
    <w:p w14:paraId="131A9529" w14:textId="77777777" w:rsidR="00F90F97" w:rsidRDefault="00F90F97" w:rsidP="00BF49B9">
      <w:pPr>
        <w:spacing w:after="0" w:line="240" w:lineRule="auto"/>
      </w:pPr>
      <w:r>
        <w:br w:type="page"/>
      </w:r>
    </w:p>
    <w:p w14:paraId="7DD9122B" w14:textId="77777777" w:rsidR="00F90F97" w:rsidRDefault="00F90F97" w:rsidP="00BF49B9">
      <w:pPr>
        <w:spacing w:after="0" w:line="240" w:lineRule="auto"/>
      </w:pPr>
    </w:p>
    <w:p w14:paraId="0B9AF861" w14:textId="77777777" w:rsidR="00F90F97" w:rsidRDefault="00F90F97" w:rsidP="00BF49B9">
      <w:pPr>
        <w:spacing w:after="0" w:line="240" w:lineRule="auto"/>
      </w:pPr>
    </w:p>
    <w:p w14:paraId="53376559" w14:textId="10276512" w:rsidR="00E16436" w:rsidRPr="005037E0" w:rsidRDefault="005E0AD7" w:rsidP="00E16436">
      <w:pPr>
        <w:pStyle w:val="tn"/>
        <w:spacing w:before="0"/>
        <w:ind w:left="0" w:firstLine="0"/>
        <w:jc w:val="center"/>
        <w:rPr>
          <w:rFonts w:ascii="Cambria" w:eastAsia="Batang" w:hAnsi="Cambria"/>
          <w:b/>
          <w:bCs/>
          <w:sz w:val="24"/>
          <w:szCs w:val="24"/>
        </w:rPr>
      </w:pPr>
      <w:r>
        <w:rPr>
          <w:rFonts w:ascii="Cambria" w:hAnsi="Cambria"/>
          <w:noProof/>
          <w:sz w:val="24"/>
          <w:szCs w:val="24"/>
          <w:lang w:val="es-ES"/>
        </w:rPr>
        <mc:AlternateContent>
          <mc:Choice Requires="wps">
            <w:drawing>
              <wp:anchor distT="0" distB="0" distL="114300" distR="114300" simplePos="0" relativeHeight="251659264" behindDoc="0" locked="0" layoutInCell="1" allowOverlap="1" wp14:anchorId="298CE268" wp14:editId="1CD67518">
                <wp:simplePos x="0" y="0"/>
                <wp:positionH relativeFrom="column">
                  <wp:posOffset>2400300</wp:posOffset>
                </wp:positionH>
                <wp:positionV relativeFrom="paragraph">
                  <wp:posOffset>7696835</wp:posOffset>
                </wp:positionV>
                <wp:extent cx="685800" cy="57150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BF3131" id="Rectangle 3" o:spid="_x0000_s1026" style="position:absolute;margin-left:189pt;margin-top:606.05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" stroked="f"/>
            </w:pict>
          </mc:Fallback>
        </mc:AlternateContent>
      </w:r>
      <w:r w:rsidR="00E16436" w:rsidRPr="005037E0">
        <w:rPr>
          <w:rFonts w:ascii="Cambria" w:eastAsia="Batang" w:hAnsi="Cambria"/>
          <w:b/>
          <w:bCs/>
          <w:sz w:val="24"/>
          <w:szCs w:val="24"/>
        </w:rPr>
        <w:t>CUENTAS ANUALES DEL EJERCICIO ECONÓMICO TER</w:t>
      </w:r>
      <w:r w:rsidR="00C34538">
        <w:rPr>
          <w:rFonts w:ascii="Cambria" w:eastAsia="Batang" w:hAnsi="Cambria"/>
          <w:b/>
          <w:bCs/>
          <w:sz w:val="24"/>
          <w:szCs w:val="24"/>
        </w:rPr>
        <w:t>MINADO EL 31 DE DICIEMBRE DE 2020</w:t>
      </w:r>
    </w:p>
    <w:p w14:paraId="0F37E572" w14:textId="77777777" w:rsidR="00E16436" w:rsidRPr="005037E0" w:rsidRDefault="00E16436" w:rsidP="00E16436">
      <w:pPr>
        <w:pStyle w:val="tn"/>
        <w:spacing w:before="0"/>
        <w:jc w:val="center"/>
        <w:rPr>
          <w:rFonts w:ascii="Cambria" w:hAnsi="Cambria"/>
          <w:sz w:val="24"/>
          <w:szCs w:val="24"/>
        </w:rPr>
      </w:pPr>
    </w:p>
    <w:p w14:paraId="6E69FF48" w14:textId="77777777" w:rsidR="00E16436" w:rsidRPr="005037E0" w:rsidRDefault="00E16436" w:rsidP="00E16436">
      <w:pPr>
        <w:pStyle w:val="tn"/>
        <w:spacing w:before="0"/>
        <w:jc w:val="center"/>
        <w:rPr>
          <w:rFonts w:ascii="Cambria" w:hAnsi="Cambria"/>
          <w:sz w:val="24"/>
          <w:szCs w:val="24"/>
        </w:rPr>
      </w:pPr>
    </w:p>
    <w:p w14:paraId="73736830" w14:textId="77777777" w:rsidR="00E16436" w:rsidRPr="005037E0" w:rsidRDefault="00E16436" w:rsidP="00E16436">
      <w:pPr>
        <w:pStyle w:val="tn"/>
        <w:spacing w:before="0"/>
        <w:jc w:val="center"/>
        <w:rPr>
          <w:rFonts w:ascii="Cambria" w:hAnsi="Cambria"/>
          <w:sz w:val="24"/>
          <w:szCs w:val="24"/>
        </w:rPr>
      </w:pPr>
    </w:p>
    <w:p w14:paraId="2D70DD2B" w14:textId="63C4BB13" w:rsidR="00E16436" w:rsidRDefault="00E16436" w:rsidP="00E16436">
      <w:pPr>
        <w:pStyle w:val="tn"/>
        <w:spacing w:before="0"/>
        <w:ind w:left="0" w:firstLine="0"/>
        <w:rPr>
          <w:rFonts w:ascii="Cambria" w:eastAsia="Batang" w:hAnsi="Cambria"/>
          <w:sz w:val="24"/>
          <w:szCs w:val="24"/>
        </w:rPr>
      </w:pPr>
      <w:r w:rsidRPr="005037E0">
        <w:rPr>
          <w:rFonts w:ascii="Cambria" w:eastAsia="Batang" w:hAnsi="Cambria"/>
          <w:sz w:val="24"/>
          <w:szCs w:val="24"/>
        </w:rPr>
        <w:t>En cumplimiento con lo dispuesto en los artículos 34 y 35 del Código de Comercio y los artículos 253, 254 y 262 del Texto Refundido de la Ley de Sociedades de Capital, se redactan y presentan las Cuentas Anuales de la Sociedad referidos al ejercicio correspondiente al período comprendido entre el 1 de e</w:t>
      </w:r>
      <w:r w:rsidR="00D1416F">
        <w:rPr>
          <w:rFonts w:ascii="Cambria" w:eastAsia="Batang" w:hAnsi="Cambria"/>
          <w:sz w:val="24"/>
          <w:szCs w:val="24"/>
        </w:rPr>
        <w:t>nero y el 31 de diciembre de 2020</w:t>
      </w:r>
      <w:r w:rsidRPr="005037E0">
        <w:rPr>
          <w:rFonts w:ascii="Cambria" w:eastAsia="Batang" w:hAnsi="Cambria"/>
          <w:sz w:val="24"/>
          <w:szCs w:val="24"/>
        </w:rPr>
        <w:t>.</w:t>
      </w:r>
    </w:p>
    <w:p w14:paraId="5DE18B78" w14:textId="77777777" w:rsidR="00E16436" w:rsidRPr="005037E0" w:rsidRDefault="00E16436" w:rsidP="00E16436">
      <w:pPr>
        <w:pStyle w:val="tn"/>
        <w:spacing w:before="0"/>
        <w:ind w:left="0" w:firstLine="0"/>
        <w:rPr>
          <w:rFonts w:ascii="Cambria" w:eastAsia="Batang" w:hAnsi="Cambria"/>
          <w:sz w:val="24"/>
          <w:szCs w:val="24"/>
        </w:rPr>
      </w:pPr>
    </w:p>
    <w:p w14:paraId="0D49A50B" w14:textId="77777777" w:rsidR="00D1416F" w:rsidRDefault="00E16436" w:rsidP="00E16436">
      <w:pPr>
        <w:pStyle w:val="tn"/>
        <w:spacing w:before="0"/>
        <w:ind w:left="0" w:firstLine="0"/>
        <w:rPr>
          <w:rFonts w:ascii="Cambria" w:eastAsia="Batang" w:hAnsi="Cambria"/>
          <w:sz w:val="24"/>
          <w:szCs w:val="24"/>
        </w:rPr>
      </w:pPr>
      <w:r w:rsidRPr="005037E0">
        <w:rPr>
          <w:rFonts w:ascii="Cambria" w:eastAsia="Batang" w:hAnsi="Cambria"/>
          <w:sz w:val="24"/>
          <w:szCs w:val="24"/>
        </w:rPr>
        <w:t xml:space="preserve">De acuerdo con lo dispuesto en el artículo 37 del Código de Comercio, el Representante Persona Física del Administrador Único de la Sociedad firma las </w:t>
      </w:r>
      <w:r w:rsidRPr="00AC7867">
        <w:rPr>
          <w:rFonts w:ascii="Cambria" w:eastAsia="Batang" w:hAnsi="Cambria"/>
          <w:sz w:val="24"/>
          <w:szCs w:val="24"/>
        </w:rPr>
        <w:t>presentes Cuentas Anuales e Informe de Gestión, en todas sus hojas,</w:t>
      </w:r>
    </w:p>
    <w:p w14:paraId="77EA043D" w14:textId="77777777" w:rsidR="00D1416F" w:rsidRDefault="00D1416F" w:rsidP="00E16436">
      <w:pPr>
        <w:pStyle w:val="tn"/>
        <w:spacing w:before="0"/>
        <w:ind w:left="0" w:firstLine="0"/>
        <w:rPr>
          <w:rFonts w:ascii="Cambria" w:eastAsia="Batang" w:hAnsi="Cambria"/>
          <w:sz w:val="24"/>
          <w:szCs w:val="24"/>
        </w:rPr>
      </w:pPr>
    </w:p>
    <w:p w14:paraId="30B0540F" w14:textId="5C9CE397" w:rsidR="00E16436" w:rsidRPr="005037E0" w:rsidRDefault="00D1416F" w:rsidP="00E16436">
      <w:pPr>
        <w:pStyle w:val="tn"/>
        <w:spacing w:before="0"/>
        <w:ind w:left="0" w:firstLine="0"/>
        <w:rPr>
          <w:rFonts w:ascii="Cambria" w:eastAsia="Batang" w:hAnsi="Cambria"/>
          <w:sz w:val="24"/>
          <w:szCs w:val="24"/>
        </w:rPr>
      </w:pPr>
      <w:r w:rsidRPr="00AE2A1E">
        <w:rPr>
          <w:rFonts w:ascii="Cambria" w:eastAsia="Batang" w:hAnsi="Cambria"/>
          <w:sz w:val="24"/>
          <w:szCs w:val="24"/>
        </w:rPr>
        <w:t>E</w:t>
      </w:r>
      <w:r w:rsidR="00BB7CA2" w:rsidRPr="00AE2A1E">
        <w:rPr>
          <w:rFonts w:ascii="Cambria" w:eastAsia="Batang" w:hAnsi="Cambria"/>
          <w:sz w:val="24"/>
          <w:szCs w:val="24"/>
        </w:rPr>
        <w:t xml:space="preserve">n Madrid a </w:t>
      </w:r>
      <w:r w:rsidR="00AE2A1E" w:rsidRPr="00AE2A1E">
        <w:rPr>
          <w:rFonts w:ascii="Cambria" w:eastAsia="Batang" w:hAnsi="Cambria"/>
          <w:sz w:val="24"/>
          <w:szCs w:val="24"/>
        </w:rPr>
        <w:t>11</w:t>
      </w:r>
      <w:r w:rsidR="00BB7CA2" w:rsidRPr="00AE2A1E">
        <w:rPr>
          <w:rFonts w:ascii="Cambria" w:eastAsia="Batang" w:hAnsi="Cambria"/>
          <w:sz w:val="24"/>
          <w:szCs w:val="24"/>
        </w:rPr>
        <w:t xml:space="preserve"> </w:t>
      </w:r>
      <w:r w:rsidRPr="00AE2A1E">
        <w:rPr>
          <w:rFonts w:ascii="Cambria" w:eastAsia="Batang" w:hAnsi="Cambria"/>
          <w:sz w:val="24"/>
          <w:szCs w:val="24"/>
        </w:rPr>
        <w:t>de marzo 2021</w:t>
      </w:r>
      <w:r w:rsidR="00E16436" w:rsidRPr="00AE2A1E">
        <w:rPr>
          <w:rFonts w:ascii="Cambria" w:eastAsia="Batang" w:hAnsi="Cambria"/>
          <w:sz w:val="24"/>
          <w:szCs w:val="24"/>
        </w:rPr>
        <w:t>.</w:t>
      </w:r>
    </w:p>
    <w:p w14:paraId="779598A4" w14:textId="77777777" w:rsidR="00E16436" w:rsidRPr="005037E0" w:rsidRDefault="00E16436" w:rsidP="00E16436">
      <w:pPr>
        <w:pStyle w:val="tn"/>
        <w:spacing w:before="0"/>
        <w:rPr>
          <w:rFonts w:ascii="Cambria" w:eastAsia="Batang" w:hAnsi="Cambria"/>
          <w:sz w:val="24"/>
          <w:szCs w:val="24"/>
        </w:rPr>
      </w:pPr>
    </w:p>
    <w:p w14:paraId="410DB993" w14:textId="77777777" w:rsidR="00E16436" w:rsidRPr="005037E0" w:rsidRDefault="00E16436" w:rsidP="00E16436">
      <w:pPr>
        <w:pStyle w:val="tn"/>
        <w:spacing w:before="0"/>
        <w:rPr>
          <w:rFonts w:ascii="Cambria" w:hAnsi="Cambria"/>
          <w:sz w:val="24"/>
          <w:szCs w:val="24"/>
        </w:rPr>
      </w:pPr>
    </w:p>
    <w:p w14:paraId="469508C1" w14:textId="77777777" w:rsidR="00E16436" w:rsidRPr="005037E0" w:rsidRDefault="00E16436" w:rsidP="00E16436">
      <w:pPr>
        <w:pStyle w:val="tn"/>
        <w:spacing w:before="0"/>
        <w:rPr>
          <w:rFonts w:ascii="Cambria" w:hAnsi="Cambria"/>
          <w:sz w:val="24"/>
          <w:szCs w:val="24"/>
        </w:rPr>
      </w:pPr>
    </w:p>
    <w:p w14:paraId="5E7DB179" w14:textId="77777777" w:rsidR="00E16436" w:rsidRPr="005037E0" w:rsidRDefault="00E16436" w:rsidP="00E16436">
      <w:pPr>
        <w:pStyle w:val="tn"/>
        <w:spacing w:before="0"/>
        <w:rPr>
          <w:rFonts w:ascii="Cambria" w:hAnsi="Cambria"/>
          <w:sz w:val="24"/>
          <w:szCs w:val="24"/>
        </w:rPr>
      </w:pPr>
    </w:p>
    <w:p w14:paraId="170E553D" w14:textId="77777777" w:rsidR="00E16436" w:rsidRPr="005037E0" w:rsidRDefault="00E16436" w:rsidP="00E16436">
      <w:pPr>
        <w:pStyle w:val="tn"/>
        <w:spacing w:before="0"/>
        <w:rPr>
          <w:rFonts w:ascii="Cambria" w:hAnsi="Cambria"/>
          <w:sz w:val="24"/>
          <w:szCs w:val="24"/>
        </w:rPr>
      </w:pPr>
    </w:p>
    <w:p w14:paraId="1BE8B651" w14:textId="77777777" w:rsidR="00E16436" w:rsidRDefault="00E16436" w:rsidP="00E16436">
      <w:pPr>
        <w:pStyle w:val="tn"/>
        <w:spacing w:before="0"/>
        <w:rPr>
          <w:rFonts w:ascii="Cambria" w:hAnsi="Cambria"/>
          <w:sz w:val="24"/>
          <w:szCs w:val="24"/>
        </w:rPr>
      </w:pPr>
    </w:p>
    <w:p w14:paraId="49A6FAE5" w14:textId="77777777" w:rsidR="00E16436" w:rsidRDefault="00E16436" w:rsidP="00E16436">
      <w:pPr>
        <w:pStyle w:val="tn"/>
        <w:spacing w:before="0"/>
        <w:rPr>
          <w:rFonts w:ascii="Cambria" w:hAnsi="Cambria"/>
          <w:sz w:val="24"/>
          <w:szCs w:val="24"/>
        </w:rPr>
      </w:pPr>
    </w:p>
    <w:p w14:paraId="25F4093F" w14:textId="77777777" w:rsidR="00E16436" w:rsidRPr="005037E0" w:rsidRDefault="00E16436" w:rsidP="00E16436">
      <w:pPr>
        <w:pStyle w:val="tn"/>
        <w:spacing w:before="0"/>
        <w:rPr>
          <w:rFonts w:ascii="Cambria" w:hAnsi="Cambria"/>
          <w:sz w:val="24"/>
          <w:szCs w:val="24"/>
        </w:rPr>
      </w:pPr>
    </w:p>
    <w:p w14:paraId="1E137880" w14:textId="77777777" w:rsidR="00E16436" w:rsidRPr="005037E0" w:rsidRDefault="00E16436" w:rsidP="00E16436">
      <w:pPr>
        <w:pStyle w:val="tn"/>
        <w:spacing w:before="0"/>
        <w:ind w:left="0" w:firstLine="0"/>
        <w:outlineLvl w:val="0"/>
        <w:rPr>
          <w:rFonts w:ascii="Cambria" w:eastAsia="Batang" w:hAnsi="Cambria"/>
          <w:sz w:val="24"/>
          <w:szCs w:val="24"/>
        </w:rPr>
      </w:pPr>
      <w:r>
        <w:rPr>
          <w:rFonts w:ascii="Cambria" w:eastAsia="Batang" w:hAnsi="Cambria"/>
          <w:sz w:val="24"/>
          <w:szCs w:val="24"/>
        </w:rPr>
        <w:t>Fdo.:</w:t>
      </w:r>
      <w:r>
        <w:rPr>
          <w:rFonts w:ascii="Cambria" w:eastAsia="Batang" w:hAnsi="Cambria"/>
          <w:sz w:val="24"/>
          <w:szCs w:val="24"/>
        </w:rPr>
        <w:tab/>
      </w:r>
      <w:r w:rsidR="007B3F13">
        <w:rPr>
          <w:rFonts w:ascii="Cambria" w:eastAsia="Batang" w:hAnsi="Cambria"/>
          <w:sz w:val="24"/>
          <w:szCs w:val="24"/>
        </w:rPr>
        <w:t>Jorge Pipaón Pulido</w:t>
      </w:r>
    </w:p>
    <w:p w14:paraId="6C028C55" w14:textId="77777777" w:rsidR="00E16436" w:rsidRDefault="00E16436" w:rsidP="00E16436">
      <w:pPr>
        <w:pStyle w:val="tn"/>
        <w:spacing w:before="0"/>
        <w:ind w:left="0" w:firstLine="737"/>
        <w:outlineLvl w:val="0"/>
        <w:rPr>
          <w:rFonts w:ascii="Cambria" w:eastAsia="Batang" w:hAnsi="Cambria"/>
          <w:sz w:val="24"/>
          <w:szCs w:val="24"/>
        </w:rPr>
      </w:pPr>
      <w:r w:rsidRPr="005037E0">
        <w:rPr>
          <w:rFonts w:ascii="Cambria" w:eastAsia="Batang" w:hAnsi="Cambria"/>
          <w:sz w:val="24"/>
          <w:szCs w:val="24"/>
        </w:rPr>
        <w:t>Representante Persona Física</w:t>
      </w:r>
      <w:r>
        <w:rPr>
          <w:rFonts w:ascii="Cambria" w:eastAsia="Batang" w:hAnsi="Cambria"/>
          <w:sz w:val="24"/>
          <w:szCs w:val="24"/>
        </w:rPr>
        <w:t xml:space="preserve"> </w:t>
      </w:r>
    </w:p>
    <w:p w14:paraId="38CE7DCF" w14:textId="77777777" w:rsidR="00E16436" w:rsidRPr="005037E0" w:rsidRDefault="00E16436" w:rsidP="00E16436">
      <w:pPr>
        <w:pStyle w:val="tn"/>
        <w:spacing w:before="0"/>
        <w:ind w:left="0" w:firstLine="737"/>
        <w:outlineLvl w:val="0"/>
        <w:rPr>
          <w:rFonts w:ascii="Cambria" w:eastAsia="Batang" w:hAnsi="Cambria"/>
          <w:sz w:val="24"/>
          <w:szCs w:val="24"/>
        </w:rPr>
      </w:pPr>
      <w:r w:rsidRPr="005037E0">
        <w:rPr>
          <w:rFonts w:ascii="Cambria" w:eastAsia="Batang" w:hAnsi="Cambria"/>
          <w:sz w:val="24"/>
          <w:szCs w:val="24"/>
        </w:rPr>
        <w:t>del Administrador Único</w:t>
      </w:r>
    </w:p>
    <w:p w14:paraId="64BD3B73" w14:textId="77777777" w:rsidR="00F90F97" w:rsidRDefault="00F90F97" w:rsidP="00BF49B9">
      <w:pPr>
        <w:spacing w:after="0" w:line="240" w:lineRule="auto"/>
      </w:pPr>
    </w:p>
    <w:p w14:paraId="4A9E8F08" w14:textId="77777777" w:rsidR="00F90F97" w:rsidRDefault="00F90F97" w:rsidP="00BF49B9">
      <w:pPr>
        <w:spacing w:after="0" w:line="240" w:lineRule="auto"/>
      </w:pPr>
    </w:p>
    <w:p w14:paraId="3FE20118" w14:textId="77777777" w:rsidR="00F90F97" w:rsidRDefault="00F90F97" w:rsidP="00BF49B9">
      <w:pPr>
        <w:spacing w:after="0" w:line="240" w:lineRule="auto"/>
      </w:pPr>
    </w:p>
    <w:p w14:paraId="5C50D1BB" w14:textId="77777777" w:rsidR="00F90F97" w:rsidRDefault="00F90F97" w:rsidP="00BF49B9">
      <w:pPr>
        <w:spacing w:after="0" w:line="240" w:lineRule="auto"/>
      </w:pPr>
    </w:p>
    <w:p w14:paraId="238ACEDF" w14:textId="77777777" w:rsidR="00F90F97" w:rsidRDefault="00F90F97" w:rsidP="00BF49B9">
      <w:pPr>
        <w:spacing w:after="0" w:line="240" w:lineRule="auto"/>
      </w:pPr>
      <w:r>
        <w:br w:type="page"/>
      </w:r>
    </w:p>
    <w:p w14:paraId="1F2F15FC" w14:textId="77777777" w:rsidR="00F90F97" w:rsidRDefault="00F90F97" w:rsidP="00BF49B9">
      <w:pPr>
        <w:spacing w:after="0" w:line="240" w:lineRule="auto"/>
      </w:pPr>
    </w:p>
    <w:p w14:paraId="6C6B1745" w14:textId="77777777" w:rsidR="00F90F97" w:rsidRDefault="00F90F97" w:rsidP="00BF49B9">
      <w:pPr>
        <w:spacing w:after="0" w:line="240" w:lineRule="auto"/>
      </w:pPr>
    </w:p>
    <w:p w14:paraId="6368B125" w14:textId="77777777" w:rsidR="00E16436" w:rsidRDefault="00E16436" w:rsidP="00BF49B9">
      <w:pPr>
        <w:spacing w:after="0" w:line="240" w:lineRule="auto"/>
      </w:pPr>
    </w:p>
    <w:p w14:paraId="4260B4AE" w14:textId="77777777" w:rsidR="00E16436" w:rsidRDefault="00E16436" w:rsidP="00BF49B9">
      <w:pPr>
        <w:spacing w:after="0" w:line="240" w:lineRule="auto"/>
      </w:pPr>
    </w:p>
    <w:p w14:paraId="130041B1" w14:textId="77777777" w:rsidR="00E16436" w:rsidRDefault="00E16436" w:rsidP="00BF49B9">
      <w:pPr>
        <w:spacing w:after="0" w:line="240" w:lineRule="auto"/>
      </w:pPr>
    </w:p>
    <w:p w14:paraId="0BE4EBE9" w14:textId="77777777" w:rsidR="00E16436" w:rsidRDefault="00E16436" w:rsidP="00BF49B9">
      <w:pPr>
        <w:spacing w:after="0" w:line="240" w:lineRule="auto"/>
      </w:pPr>
    </w:p>
    <w:p w14:paraId="683AFD7E" w14:textId="77777777" w:rsidR="00E16436" w:rsidRDefault="00E16436" w:rsidP="00BF49B9">
      <w:pPr>
        <w:spacing w:after="0" w:line="240" w:lineRule="auto"/>
      </w:pPr>
    </w:p>
    <w:p w14:paraId="3A1BBF4A" w14:textId="77777777" w:rsidR="00E16436" w:rsidRDefault="00E16436" w:rsidP="00BF49B9">
      <w:pPr>
        <w:spacing w:after="0" w:line="240" w:lineRule="auto"/>
      </w:pPr>
    </w:p>
    <w:p w14:paraId="55863EAA" w14:textId="77777777" w:rsidR="00E16436" w:rsidRDefault="00E16436" w:rsidP="00BF49B9">
      <w:pPr>
        <w:spacing w:after="0" w:line="240" w:lineRule="auto"/>
      </w:pPr>
    </w:p>
    <w:p w14:paraId="1A1EF639" w14:textId="77777777" w:rsidR="00E16436" w:rsidRDefault="00E16436" w:rsidP="00BF49B9">
      <w:pPr>
        <w:spacing w:after="0" w:line="240" w:lineRule="auto"/>
      </w:pPr>
    </w:p>
    <w:p w14:paraId="30D8A2DA" w14:textId="77777777" w:rsidR="00E16436" w:rsidRDefault="00E16436" w:rsidP="00BF49B9">
      <w:pPr>
        <w:spacing w:after="0" w:line="240" w:lineRule="auto"/>
      </w:pPr>
    </w:p>
    <w:p w14:paraId="01EC5D3D" w14:textId="77777777" w:rsidR="00E16436" w:rsidRDefault="00E16436" w:rsidP="00BF49B9">
      <w:pPr>
        <w:spacing w:after="0" w:line="240" w:lineRule="auto"/>
      </w:pPr>
    </w:p>
    <w:p w14:paraId="63C1B10B" w14:textId="77777777" w:rsidR="00E16436" w:rsidRDefault="00E16436" w:rsidP="00BF49B9">
      <w:pPr>
        <w:spacing w:after="0" w:line="240" w:lineRule="auto"/>
      </w:pPr>
    </w:p>
    <w:p w14:paraId="18B1E292" w14:textId="77777777" w:rsidR="00E16436" w:rsidRDefault="00E16436" w:rsidP="00BF49B9">
      <w:pPr>
        <w:spacing w:after="0" w:line="240" w:lineRule="auto"/>
      </w:pPr>
    </w:p>
    <w:p w14:paraId="7B4DB0E9" w14:textId="60F4DB1D" w:rsidR="00E16436" w:rsidRDefault="00E16436" w:rsidP="00E16436">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r w:rsidRPr="00E16436">
        <w:rPr>
          <w:rFonts w:eastAsia="Batang" w:cs="Times New Roman"/>
          <w:b/>
          <w:bCs/>
          <w:szCs w:val="24"/>
          <w:lang w:val="es-ES_tradnl" w:eastAsia="es-ES"/>
        </w:rPr>
        <w:t>EJERCICIO</w:t>
      </w:r>
      <w:r w:rsidR="00C34538">
        <w:rPr>
          <w:rFonts w:eastAsia="Batang" w:cs="Times New Roman"/>
          <w:b/>
          <w:bCs/>
          <w:szCs w:val="24"/>
          <w:lang w:val="es-ES_tradnl" w:eastAsia="es-ES"/>
        </w:rPr>
        <w:t xml:space="preserve"> 2020</w:t>
      </w:r>
    </w:p>
    <w:p w14:paraId="6E88CB7C" w14:textId="77777777" w:rsidR="00551C7D" w:rsidRDefault="00551C7D" w:rsidP="00E16436">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p>
    <w:p w14:paraId="10F3432B" w14:textId="77777777" w:rsidR="00551C7D" w:rsidRPr="00E16436" w:rsidRDefault="00551C7D" w:rsidP="00E16436">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r>
        <w:rPr>
          <w:rFonts w:eastAsia="Batang" w:cs="Times New Roman"/>
          <w:b/>
          <w:bCs/>
          <w:szCs w:val="24"/>
          <w:lang w:val="es-ES_tradnl" w:eastAsia="es-ES"/>
        </w:rPr>
        <w:t>ALIMENTOS Y ACEITES S.A. S.M.E.</w:t>
      </w:r>
    </w:p>
    <w:p w14:paraId="5F648A7B" w14:textId="77777777" w:rsidR="00E16436" w:rsidRPr="00E16436" w:rsidRDefault="00E16436" w:rsidP="00E16436">
      <w:pPr>
        <w:overflowPunct w:val="0"/>
        <w:autoSpaceDE w:val="0"/>
        <w:autoSpaceDN w:val="0"/>
        <w:adjustRightInd w:val="0"/>
        <w:spacing w:after="0" w:line="240" w:lineRule="auto"/>
        <w:ind w:right="405"/>
        <w:jc w:val="center"/>
        <w:textAlignment w:val="baseline"/>
        <w:rPr>
          <w:rFonts w:eastAsia="Batang" w:cs="Times New Roman"/>
          <w:b/>
          <w:szCs w:val="24"/>
          <w:lang w:val="es-ES_tradnl" w:eastAsia="es-ES"/>
        </w:rPr>
      </w:pPr>
    </w:p>
    <w:p w14:paraId="2F2183ED" w14:textId="77777777" w:rsidR="00E16436" w:rsidRPr="00E16436" w:rsidRDefault="00E16436" w:rsidP="00E16436">
      <w:pPr>
        <w:overflowPunct w:val="0"/>
        <w:autoSpaceDE w:val="0"/>
        <w:autoSpaceDN w:val="0"/>
        <w:adjustRightInd w:val="0"/>
        <w:spacing w:after="0" w:line="240" w:lineRule="auto"/>
        <w:ind w:left="567" w:right="567"/>
        <w:jc w:val="center"/>
        <w:textAlignment w:val="baseline"/>
        <w:rPr>
          <w:rFonts w:eastAsia="Batang" w:cs="Times New Roman"/>
          <w:b/>
          <w:szCs w:val="24"/>
          <w:lang w:val="es-ES_tradnl" w:eastAsia="es-ES"/>
        </w:rPr>
      </w:pPr>
      <w:r w:rsidRPr="00E16436">
        <w:rPr>
          <w:rFonts w:eastAsia="Batang" w:cs="Times New Roman"/>
          <w:b/>
          <w:szCs w:val="24"/>
          <w:lang w:val="es-ES_tradnl" w:eastAsia="es-ES"/>
        </w:rPr>
        <w:t xml:space="preserve">BALANCE DE SITUACIÓN, </w:t>
      </w:r>
    </w:p>
    <w:p w14:paraId="33CEDC83" w14:textId="77777777" w:rsidR="00E16436" w:rsidRPr="00E16436" w:rsidRDefault="00E16436" w:rsidP="00E16436">
      <w:pPr>
        <w:overflowPunct w:val="0"/>
        <w:autoSpaceDE w:val="0"/>
        <w:autoSpaceDN w:val="0"/>
        <w:adjustRightInd w:val="0"/>
        <w:spacing w:after="0" w:line="240" w:lineRule="auto"/>
        <w:ind w:left="567" w:right="567"/>
        <w:jc w:val="center"/>
        <w:textAlignment w:val="baseline"/>
        <w:rPr>
          <w:rFonts w:eastAsia="Batang" w:cs="Times New Roman"/>
          <w:b/>
          <w:szCs w:val="24"/>
          <w:lang w:val="es-ES_tradnl" w:eastAsia="es-ES"/>
        </w:rPr>
      </w:pPr>
      <w:r w:rsidRPr="00E16436">
        <w:rPr>
          <w:rFonts w:eastAsia="Batang" w:cs="Times New Roman"/>
          <w:b/>
          <w:szCs w:val="24"/>
          <w:lang w:val="es-ES_tradnl" w:eastAsia="es-ES"/>
        </w:rPr>
        <w:t>CUENTA DE PÉRDIDAS Y GANANCIAS,</w:t>
      </w:r>
    </w:p>
    <w:p w14:paraId="21EE5706" w14:textId="77777777" w:rsidR="00E16436" w:rsidRPr="00E16436" w:rsidRDefault="00E16436" w:rsidP="00E16436">
      <w:pPr>
        <w:overflowPunct w:val="0"/>
        <w:autoSpaceDE w:val="0"/>
        <w:autoSpaceDN w:val="0"/>
        <w:adjustRightInd w:val="0"/>
        <w:spacing w:after="0" w:line="240" w:lineRule="auto"/>
        <w:ind w:left="567" w:right="567"/>
        <w:jc w:val="center"/>
        <w:textAlignment w:val="baseline"/>
        <w:rPr>
          <w:rFonts w:eastAsia="Batang" w:cs="Times New Roman"/>
          <w:b/>
          <w:szCs w:val="24"/>
          <w:lang w:val="es-ES_tradnl" w:eastAsia="es-ES"/>
        </w:rPr>
      </w:pPr>
      <w:r w:rsidRPr="00E16436">
        <w:rPr>
          <w:rFonts w:eastAsia="Batang" w:cs="Times New Roman"/>
          <w:b/>
          <w:szCs w:val="24"/>
          <w:lang w:val="es-ES_tradnl" w:eastAsia="es-ES"/>
        </w:rPr>
        <w:t xml:space="preserve">ESTADO DE CAMBIOS EN EL PATRIMONIO NETO </w:t>
      </w:r>
    </w:p>
    <w:p w14:paraId="4F8D34F4" w14:textId="77777777" w:rsidR="00E16436" w:rsidRPr="00E16436" w:rsidRDefault="00E16436" w:rsidP="00E16436">
      <w:pPr>
        <w:overflowPunct w:val="0"/>
        <w:autoSpaceDE w:val="0"/>
        <w:autoSpaceDN w:val="0"/>
        <w:adjustRightInd w:val="0"/>
        <w:spacing w:after="0" w:line="240" w:lineRule="auto"/>
        <w:ind w:left="567" w:right="567"/>
        <w:jc w:val="center"/>
        <w:textAlignment w:val="baseline"/>
        <w:rPr>
          <w:rFonts w:eastAsia="Batang" w:cs="Times New Roman"/>
          <w:b/>
          <w:szCs w:val="24"/>
          <w:lang w:val="es-ES_tradnl" w:eastAsia="es-ES"/>
        </w:rPr>
      </w:pPr>
      <w:r w:rsidRPr="00E16436">
        <w:rPr>
          <w:rFonts w:eastAsia="Batang" w:cs="Times New Roman"/>
          <w:b/>
          <w:szCs w:val="24"/>
          <w:lang w:val="es-ES_tradnl" w:eastAsia="es-ES"/>
        </w:rPr>
        <w:t>Y ESTADO DE FLUJOS DE EFECTIVO</w:t>
      </w:r>
    </w:p>
    <w:p w14:paraId="7735622F" w14:textId="77777777" w:rsidR="00E16436" w:rsidRPr="00E16436" w:rsidRDefault="00E16436" w:rsidP="00E16436">
      <w:pPr>
        <w:overflowPunct w:val="0"/>
        <w:autoSpaceDE w:val="0"/>
        <w:autoSpaceDN w:val="0"/>
        <w:adjustRightInd w:val="0"/>
        <w:spacing w:after="0" w:line="240" w:lineRule="auto"/>
        <w:ind w:left="567" w:right="567"/>
        <w:jc w:val="center"/>
        <w:textAlignment w:val="baseline"/>
        <w:rPr>
          <w:rFonts w:eastAsia="Batang" w:cs="Times New Roman"/>
          <w:b/>
          <w:szCs w:val="24"/>
          <w:lang w:val="es-ES_tradnl" w:eastAsia="es-ES"/>
        </w:rPr>
      </w:pPr>
      <w:r w:rsidRPr="00E16436">
        <w:rPr>
          <w:rFonts w:eastAsia="Batang" w:cs="Times New Roman"/>
          <w:b/>
          <w:szCs w:val="24"/>
          <w:lang w:val="es-ES_tradnl" w:eastAsia="es-ES"/>
        </w:rPr>
        <w:t xml:space="preserve">DEL EJERCICIO ANUAL FINALIZADO EL 31 DE DICIEMBRE </w:t>
      </w:r>
    </w:p>
    <w:p w14:paraId="56049457" w14:textId="1BDCC4AF" w:rsidR="00E16436" w:rsidRDefault="00C34538" w:rsidP="005E6522">
      <w:pPr>
        <w:spacing w:after="0" w:line="240" w:lineRule="auto"/>
        <w:jc w:val="center"/>
        <w:rPr>
          <w:rFonts w:eastAsia="Batang" w:cs="Times New Roman"/>
          <w:szCs w:val="24"/>
          <w:lang w:eastAsia="es-ES"/>
        </w:rPr>
      </w:pPr>
      <w:r>
        <w:rPr>
          <w:rFonts w:eastAsia="Batang" w:cs="Times New Roman"/>
          <w:b/>
          <w:szCs w:val="24"/>
          <w:lang w:eastAsia="es-ES"/>
        </w:rPr>
        <w:t>DE 2020</w:t>
      </w:r>
      <w:r w:rsidR="00E16436" w:rsidRPr="00E16436">
        <w:rPr>
          <w:rFonts w:eastAsia="Batang" w:cs="Times New Roman"/>
          <w:b/>
          <w:szCs w:val="24"/>
          <w:lang w:eastAsia="es-ES"/>
        </w:rPr>
        <w:t xml:space="preserve"> (en Euros</w:t>
      </w:r>
      <w:r w:rsidR="00E16436" w:rsidRPr="00E16436">
        <w:rPr>
          <w:rFonts w:eastAsia="Batang" w:cs="Times New Roman"/>
          <w:szCs w:val="24"/>
          <w:lang w:eastAsia="es-ES"/>
        </w:rPr>
        <w:t>)</w:t>
      </w:r>
    </w:p>
    <w:p w14:paraId="08BBC3C5" w14:textId="77777777" w:rsidR="00EA13F3" w:rsidRDefault="00EA13F3" w:rsidP="005E6522">
      <w:pPr>
        <w:spacing w:after="0" w:line="240" w:lineRule="auto"/>
        <w:jc w:val="center"/>
      </w:pPr>
    </w:p>
    <w:p w14:paraId="26522134" w14:textId="77777777" w:rsidR="00EA13F3" w:rsidRDefault="00EA13F3" w:rsidP="005E6522">
      <w:pPr>
        <w:spacing w:after="0" w:line="240" w:lineRule="auto"/>
        <w:jc w:val="center"/>
      </w:pPr>
    </w:p>
    <w:p w14:paraId="37D08A0E" w14:textId="77777777" w:rsidR="00EA13F3" w:rsidRDefault="00EA13F3" w:rsidP="005E6522">
      <w:pPr>
        <w:spacing w:after="0" w:line="240" w:lineRule="auto"/>
        <w:jc w:val="center"/>
      </w:pPr>
    </w:p>
    <w:p w14:paraId="564CFD79" w14:textId="77777777" w:rsidR="00EA13F3" w:rsidRDefault="00EA13F3">
      <w:pPr>
        <w:spacing w:after="0" w:line="240" w:lineRule="auto"/>
        <w:sectPr w:rsidR="00EA13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pPr>
    </w:p>
    <w:p w14:paraId="3F2492B3" w14:textId="714A738B" w:rsidR="00C9093C" w:rsidRDefault="00AA2852" w:rsidP="00AA2852">
      <w:pPr>
        <w:spacing w:after="0" w:line="240" w:lineRule="auto"/>
        <w:sectPr w:rsidR="00C9093C" w:rsidSect="00E16436">
          <w:pgSz w:w="16838" w:h="11906" w:orient="landscape"/>
          <w:pgMar w:top="1701" w:right="1417" w:bottom="1701" w:left="1417" w:header="708" w:footer="708" w:gutter="0"/>
          <w:cols w:space="708"/>
          <w:docGrid w:linePitch="360"/>
        </w:sectPr>
      </w:pPr>
      <w:r w:rsidRPr="00AA2852">
        <w:rPr>
          <w:noProof/>
          <w:lang w:eastAsia="es-ES"/>
        </w:rPr>
        <w:lastRenderedPageBreak/>
        <w:drawing>
          <wp:inline distT="0" distB="0" distL="0" distR="0" wp14:anchorId="1304A1A7" wp14:editId="44221221">
            <wp:extent cx="8892540" cy="4692015"/>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4692015"/>
                    </a:xfrm>
                    <a:prstGeom prst="rect">
                      <a:avLst/>
                    </a:prstGeom>
                    <a:noFill/>
                    <a:ln>
                      <a:noFill/>
                    </a:ln>
                  </pic:spPr>
                </pic:pic>
              </a:graphicData>
            </a:graphic>
          </wp:inline>
        </w:drawing>
      </w:r>
    </w:p>
    <w:p w14:paraId="791CB30B" w14:textId="77777777" w:rsidR="00E16436" w:rsidRDefault="00E16436" w:rsidP="00BF49B9">
      <w:pPr>
        <w:spacing w:after="0" w:line="240" w:lineRule="auto"/>
      </w:pPr>
    </w:p>
    <w:p w14:paraId="5D0D9AEA" w14:textId="77777777" w:rsidR="00C86E68" w:rsidRDefault="00C86E68" w:rsidP="00BF49B9">
      <w:pPr>
        <w:spacing w:after="0" w:line="240" w:lineRule="auto"/>
      </w:pPr>
    </w:p>
    <w:p w14:paraId="6DFCEED4" w14:textId="77777777" w:rsidR="00EA13F3" w:rsidRDefault="00EA13F3" w:rsidP="00BF49B9">
      <w:pPr>
        <w:spacing w:after="0" w:line="240" w:lineRule="auto"/>
      </w:pPr>
    </w:p>
    <w:p w14:paraId="1B632378" w14:textId="77777777" w:rsidR="002A3129" w:rsidRDefault="002A3129" w:rsidP="00BF49B9">
      <w:pPr>
        <w:spacing w:after="0" w:line="240" w:lineRule="auto"/>
      </w:pPr>
    </w:p>
    <w:p w14:paraId="45546E29" w14:textId="77777777" w:rsidR="002A3129" w:rsidRDefault="002A3129" w:rsidP="00BF49B9">
      <w:pPr>
        <w:spacing w:after="0" w:line="240" w:lineRule="auto"/>
      </w:pPr>
    </w:p>
    <w:p w14:paraId="5313043E" w14:textId="77777777" w:rsidR="00956A42" w:rsidRDefault="00956A42" w:rsidP="00BF49B9">
      <w:pPr>
        <w:spacing w:after="0" w:line="240" w:lineRule="auto"/>
      </w:pPr>
    </w:p>
    <w:p w14:paraId="1B96A733" w14:textId="77777777" w:rsidR="00956A42" w:rsidRDefault="00956A42" w:rsidP="00BF49B9">
      <w:pPr>
        <w:spacing w:after="0" w:line="240" w:lineRule="auto"/>
      </w:pPr>
    </w:p>
    <w:p w14:paraId="7D991FD9" w14:textId="77777777" w:rsidR="002A3129" w:rsidRDefault="002A3129" w:rsidP="00BF49B9">
      <w:pPr>
        <w:spacing w:after="0" w:line="240" w:lineRule="auto"/>
      </w:pPr>
    </w:p>
    <w:p w14:paraId="7667BD3E" w14:textId="5696E714" w:rsidR="00606E41" w:rsidRDefault="00AE73FD" w:rsidP="008B7975">
      <w:pPr>
        <w:spacing w:after="0" w:line="240" w:lineRule="auto"/>
        <w:jc w:val="center"/>
      </w:pPr>
      <w:r w:rsidRPr="0092048F">
        <w:rPr>
          <w:noProof/>
          <w:lang w:eastAsia="es-ES"/>
        </w:rPr>
        <w:drawing>
          <wp:inline distT="0" distB="0" distL="0" distR="0" wp14:anchorId="762BC347" wp14:editId="7425C63B">
            <wp:extent cx="5400040" cy="555684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556844"/>
                    </a:xfrm>
                    <a:prstGeom prst="rect">
                      <a:avLst/>
                    </a:prstGeom>
                    <a:noFill/>
                    <a:ln>
                      <a:noFill/>
                    </a:ln>
                  </pic:spPr>
                </pic:pic>
              </a:graphicData>
            </a:graphic>
          </wp:inline>
        </w:drawing>
      </w:r>
    </w:p>
    <w:p w14:paraId="04D3E5A5" w14:textId="77777777" w:rsidR="00847B86" w:rsidRDefault="00847B86" w:rsidP="00BF49B9">
      <w:pPr>
        <w:spacing w:after="0" w:line="240" w:lineRule="auto"/>
      </w:pPr>
    </w:p>
    <w:p w14:paraId="501D90A1" w14:textId="77777777" w:rsidR="002A3129" w:rsidRDefault="002A3129">
      <w:r>
        <w:br w:type="page"/>
      </w:r>
    </w:p>
    <w:p w14:paraId="19425857" w14:textId="77777777" w:rsidR="002A3129" w:rsidRDefault="002A3129" w:rsidP="00BF49B9">
      <w:pPr>
        <w:spacing w:after="0" w:line="240" w:lineRule="auto"/>
      </w:pPr>
    </w:p>
    <w:p w14:paraId="2143D201" w14:textId="77777777" w:rsidR="002A3129" w:rsidRDefault="002A3129" w:rsidP="00BF49B9">
      <w:pPr>
        <w:spacing w:after="0" w:line="240" w:lineRule="auto"/>
      </w:pPr>
    </w:p>
    <w:p w14:paraId="41DC4662" w14:textId="7593F139" w:rsidR="002A3129" w:rsidRDefault="007F3818" w:rsidP="00BF49B9">
      <w:pPr>
        <w:spacing w:after="0" w:line="240" w:lineRule="auto"/>
      </w:pPr>
      <w:r w:rsidRPr="007F3818">
        <w:rPr>
          <w:noProof/>
          <w:lang w:eastAsia="es-ES"/>
        </w:rPr>
        <w:drawing>
          <wp:inline distT="0" distB="0" distL="0" distR="0" wp14:anchorId="455A4765" wp14:editId="7EBDE7D0">
            <wp:extent cx="5400040" cy="7250899"/>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7250899"/>
                    </a:xfrm>
                    <a:prstGeom prst="rect">
                      <a:avLst/>
                    </a:prstGeom>
                    <a:noFill/>
                    <a:ln>
                      <a:noFill/>
                    </a:ln>
                  </pic:spPr>
                </pic:pic>
              </a:graphicData>
            </a:graphic>
          </wp:inline>
        </w:drawing>
      </w:r>
    </w:p>
    <w:p w14:paraId="3A84E529" w14:textId="77777777" w:rsidR="002A3129" w:rsidRDefault="002A3129" w:rsidP="00BF49B9">
      <w:pPr>
        <w:spacing w:after="0" w:line="240" w:lineRule="auto"/>
      </w:pPr>
    </w:p>
    <w:p w14:paraId="17581B48" w14:textId="77777777" w:rsidR="00C86E68" w:rsidRDefault="00C86E68" w:rsidP="00BF49B9">
      <w:pPr>
        <w:spacing w:after="0" w:line="240" w:lineRule="auto"/>
      </w:pPr>
    </w:p>
    <w:p w14:paraId="2A1B5447" w14:textId="77777777" w:rsidR="00C86E68" w:rsidRDefault="00C86E68" w:rsidP="00BF49B9">
      <w:pPr>
        <w:spacing w:after="0" w:line="240" w:lineRule="auto"/>
      </w:pPr>
    </w:p>
    <w:p w14:paraId="757CE754" w14:textId="77777777" w:rsidR="00C86E68" w:rsidRDefault="00C86E68" w:rsidP="00BF49B9">
      <w:pPr>
        <w:spacing w:after="0" w:line="240" w:lineRule="auto"/>
      </w:pPr>
    </w:p>
    <w:p w14:paraId="53C382EA" w14:textId="77777777" w:rsidR="00C86E68" w:rsidRDefault="00C86E68" w:rsidP="00BF49B9">
      <w:pPr>
        <w:spacing w:after="0" w:line="240" w:lineRule="auto"/>
      </w:pPr>
    </w:p>
    <w:p w14:paraId="0E823F86" w14:textId="77777777" w:rsidR="00C86E68" w:rsidRDefault="00C86E68" w:rsidP="00BF49B9">
      <w:pPr>
        <w:spacing w:after="0" w:line="240" w:lineRule="auto"/>
      </w:pPr>
    </w:p>
    <w:p w14:paraId="35CBBC77" w14:textId="77777777" w:rsidR="005272CC" w:rsidRDefault="005272CC" w:rsidP="00BF49B9">
      <w:pPr>
        <w:spacing w:after="0" w:line="240" w:lineRule="auto"/>
      </w:pPr>
    </w:p>
    <w:p w14:paraId="73EC2F93" w14:textId="77777777" w:rsidR="00913512" w:rsidRDefault="00913512" w:rsidP="00BF49B9">
      <w:pPr>
        <w:spacing w:after="0" w:line="240" w:lineRule="auto"/>
        <w:sectPr w:rsidR="00913512">
          <w:pgSz w:w="11906" w:h="16838"/>
          <w:pgMar w:top="1417" w:right="1701" w:bottom="1417" w:left="1701" w:header="708" w:footer="708" w:gutter="0"/>
          <w:cols w:space="708"/>
          <w:docGrid w:linePitch="360"/>
        </w:sectPr>
      </w:pPr>
    </w:p>
    <w:p w14:paraId="6409F154" w14:textId="40985CE8" w:rsidR="005272CC" w:rsidRDefault="005272CC" w:rsidP="00147FFA">
      <w:pPr>
        <w:spacing w:after="0" w:line="240" w:lineRule="auto"/>
        <w:jc w:val="center"/>
      </w:pPr>
    </w:p>
    <w:p w14:paraId="6C7C0405" w14:textId="77777777" w:rsidR="000B235D" w:rsidRDefault="000B235D" w:rsidP="00BF49B9">
      <w:pPr>
        <w:spacing w:after="0" w:line="240" w:lineRule="auto"/>
      </w:pPr>
    </w:p>
    <w:p w14:paraId="6CB33238" w14:textId="4C7B2C21" w:rsidR="00606E41" w:rsidRDefault="00F95186" w:rsidP="008B7975">
      <w:pPr>
        <w:spacing w:after="0" w:line="240" w:lineRule="auto"/>
        <w:jc w:val="center"/>
      </w:pPr>
      <w:r w:rsidRPr="00F95186">
        <w:rPr>
          <w:noProof/>
          <w:lang w:eastAsia="es-ES"/>
        </w:rPr>
        <w:drawing>
          <wp:inline distT="0" distB="0" distL="0" distR="0" wp14:anchorId="43617C3F" wp14:editId="1DB50C77">
            <wp:extent cx="8892540" cy="3523615"/>
            <wp:effectExtent l="0" t="0" r="381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3523615"/>
                    </a:xfrm>
                    <a:prstGeom prst="rect">
                      <a:avLst/>
                    </a:prstGeom>
                    <a:noFill/>
                    <a:ln>
                      <a:noFill/>
                    </a:ln>
                  </pic:spPr>
                </pic:pic>
              </a:graphicData>
            </a:graphic>
          </wp:inline>
        </w:drawing>
      </w:r>
    </w:p>
    <w:p w14:paraId="319A78AB" w14:textId="77777777" w:rsidR="000B235D" w:rsidRDefault="000B235D" w:rsidP="00BF49B9">
      <w:pPr>
        <w:spacing w:after="0" w:line="240" w:lineRule="auto"/>
      </w:pPr>
    </w:p>
    <w:p w14:paraId="0E14085F" w14:textId="77777777" w:rsidR="005272CC" w:rsidRDefault="005272CC" w:rsidP="00BF49B9">
      <w:pPr>
        <w:spacing w:after="0" w:line="240" w:lineRule="auto"/>
      </w:pPr>
    </w:p>
    <w:p w14:paraId="3191EC98" w14:textId="77777777" w:rsidR="005272CC" w:rsidRDefault="005272CC" w:rsidP="00BF49B9">
      <w:pPr>
        <w:spacing w:after="0" w:line="240" w:lineRule="auto"/>
      </w:pPr>
    </w:p>
    <w:p w14:paraId="462E5304" w14:textId="77777777" w:rsidR="005272CC" w:rsidRDefault="005272CC" w:rsidP="00BF49B9">
      <w:pPr>
        <w:spacing w:after="0" w:line="240" w:lineRule="auto"/>
      </w:pPr>
    </w:p>
    <w:p w14:paraId="7A33AB73" w14:textId="77777777" w:rsidR="005272CC" w:rsidRDefault="005272CC" w:rsidP="00BF49B9">
      <w:pPr>
        <w:spacing w:after="0" w:line="240" w:lineRule="auto"/>
      </w:pPr>
    </w:p>
    <w:p w14:paraId="2B45434E" w14:textId="77777777" w:rsidR="005272CC" w:rsidRDefault="005272CC" w:rsidP="00BF49B9">
      <w:pPr>
        <w:spacing w:after="0" w:line="240" w:lineRule="auto"/>
      </w:pPr>
    </w:p>
    <w:p w14:paraId="1B33C9CD" w14:textId="77777777" w:rsidR="005272CC" w:rsidRDefault="005272CC" w:rsidP="00BF49B9">
      <w:pPr>
        <w:spacing w:after="0" w:line="240" w:lineRule="auto"/>
        <w:sectPr w:rsidR="005272CC" w:rsidSect="005272CC">
          <w:pgSz w:w="16838" w:h="11906" w:orient="landscape"/>
          <w:pgMar w:top="1701" w:right="1417" w:bottom="1701" w:left="1417" w:header="708" w:footer="708" w:gutter="0"/>
          <w:cols w:space="708"/>
          <w:docGrid w:linePitch="360"/>
        </w:sectPr>
      </w:pPr>
    </w:p>
    <w:p w14:paraId="23F3CB53" w14:textId="18A4D26C" w:rsidR="00956A42" w:rsidRDefault="00956A42" w:rsidP="00BF49B9">
      <w:pPr>
        <w:spacing w:after="0" w:line="240" w:lineRule="auto"/>
      </w:pPr>
    </w:p>
    <w:p w14:paraId="0629357B" w14:textId="75F564A8" w:rsidR="000D7BFF" w:rsidRDefault="000D7BFF" w:rsidP="00BF49B9">
      <w:pPr>
        <w:spacing w:after="0" w:line="240" w:lineRule="auto"/>
      </w:pPr>
    </w:p>
    <w:p w14:paraId="62236AFA" w14:textId="77777777" w:rsidR="000D7BFF" w:rsidRDefault="000D7BFF" w:rsidP="00BF49B9">
      <w:pPr>
        <w:spacing w:after="0" w:line="240" w:lineRule="auto"/>
      </w:pPr>
    </w:p>
    <w:p w14:paraId="5ACBE360" w14:textId="40261576" w:rsidR="00606E41" w:rsidRDefault="000D7BFF" w:rsidP="000D7BFF">
      <w:pPr>
        <w:spacing w:after="0" w:line="240" w:lineRule="auto"/>
        <w:ind w:left="-567"/>
        <w:jc w:val="both"/>
      </w:pPr>
      <w:r w:rsidRPr="000D7BFF">
        <w:rPr>
          <w:noProof/>
          <w:lang w:eastAsia="es-ES"/>
        </w:rPr>
        <w:drawing>
          <wp:inline distT="0" distB="0" distL="0" distR="0" wp14:anchorId="2CFEEADA" wp14:editId="59D7F345">
            <wp:extent cx="6256800" cy="603000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6800" cy="6030000"/>
                    </a:xfrm>
                    <a:prstGeom prst="rect">
                      <a:avLst/>
                    </a:prstGeom>
                    <a:noFill/>
                    <a:ln>
                      <a:noFill/>
                    </a:ln>
                  </pic:spPr>
                </pic:pic>
              </a:graphicData>
            </a:graphic>
          </wp:inline>
        </w:drawing>
      </w:r>
    </w:p>
    <w:p w14:paraId="5ADECADE" w14:textId="77777777" w:rsidR="00F90F97" w:rsidRDefault="00F90F97" w:rsidP="00BF49B9">
      <w:pPr>
        <w:spacing w:after="0" w:line="240" w:lineRule="auto"/>
      </w:pPr>
    </w:p>
    <w:p w14:paraId="30197D31" w14:textId="77777777" w:rsidR="00F90F97" w:rsidRDefault="00F90F97" w:rsidP="00BF49B9">
      <w:pPr>
        <w:spacing w:after="0" w:line="240" w:lineRule="auto"/>
      </w:pPr>
      <w:r>
        <w:br w:type="page"/>
      </w:r>
    </w:p>
    <w:p w14:paraId="5CE492C5" w14:textId="77777777" w:rsidR="00F90F97" w:rsidRDefault="00F90F97" w:rsidP="00BF49B9">
      <w:pPr>
        <w:spacing w:after="0" w:line="240" w:lineRule="auto"/>
      </w:pPr>
    </w:p>
    <w:p w14:paraId="47DF84D4" w14:textId="77777777" w:rsidR="00F90F97" w:rsidRDefault="00F90F97" w:rsidP="00BF49B9">
      <w:pPr>
        <w:spacing w:after="0" w:line="240" w:lineRule="auto"/>
      </w:pPr>
    </w:p>
    <w:p w14:paraId="64F79D1E" w14:textId="77777777" w:rsidR="00F90F97" w:rsidRDefault="00F90F97" w:rsidP="00BF49B9">
      <w:pPr>
        <w:spacing w:after="0" w:line="240" w:lineRule="auto"/>
      </w:pPr>
    </w:p>
    <w:p w14:paraId="0A537B84" w14:textId="77777777" w:rsidR="005272CC" w:rsidRDefault="005272CC" w:rsidP="00BF49B9">
      <w:pPr>
        <w:spacing w:after="0" w:line="240" w:lineRule="auto"/>
      </w:pPr>
    </w:p>
    <w:p w14:paraId="3FB634D8" w14:textId="77777777" w:rsidR="005272CC" w:rsidRDefault="005272CC" w:rsidP="00BF49B9">
      <w:pPr>
        <w:spacing w:after="0" w:line="240" w:lineRule="auto"/>
      </w:pPr>
    </w:p>
    <w:p w14:paraId="4C161DA8" w14:textId="77777777" w:rsidR="005272CC" w:rsidRDefault="005272CC" w:rsidP="00BF49B9">
      <w:pPr>
        <w:spacing w:after="0" w:line="240" w:lineRule="auto"/>
      </w:pPr>
    </w:p>
    <w:p w14:paraId="077C920C" w14:textId="77777777" w:rsidR="005272CC" w:rsidRDefault="005272CC" w:rsidP="00BF49B9">
      <w:pPr>
        <w:spacing w:after="0" w:line="240" w:lineRule="auto"/>
      </w:pPr>
    </w:p>
    <w:p w14:paraId="50FB8BEF" w14:textId="77777777" w:rsidR="005272CC" w:rsidRDefault="005272CC" w:rsidP="00BF49B9">
      <w:pPr>
        <w:spacing w:after="0" w:line="240" w:lineRule="auto"/>
      </w:pPr>
    </w:p>
    <w:p w14:paraId="5D3424CB" w14:textId="77777777" w:rsidR="005272CC" w:rsidRDefault="005272CC" w:rsidP="00BF49B9">
      <w:pPr>
        <w:spacing w:after="0" w:line="240" w:lineRule="auto"/>
      </w:pPr>
    </w:p>
    <w:p w14:paraId="347458D6" w14:textId="77777777" w:rsidR="005272CC" w:rsidRDefault="005272CC" w:rsidP="00BF49B9">
      <w:pPr>
        <w:spacing w:after="0" w:line="240" w:lineRule="auto"/>
      </w:pPr>
    </w:p>
    <w:p w14:paraId="6E80E274" w14:textId="77777777" w:rsidR="005272CC" w:rsidRDefault="005272CC" w:rsidP="00BF49B9">
      <w:pPr>
        <w:spacing w:after="0" w:line="240" w:lineRule="auto"/>
      </w:pPr>
    </w:p>
    <w:p w14:paraId="617C7EBD" w14:textId="77777777" w:rsidR="005272CC" w:rsidRDefault="005272CC" w:rsidP="00BF49B9">
      <w:pPr>
        <w:spacing w:after="0" w:line="240" w:lineRule="auto"/>
      </w:pPr>
    </w:p>
    <w:p w14:paraId="00170995" w14:textId="77777777" w:rsidR="005272CC" w:rsidRDefault="005272CC" w:rsidP="00BF49B9">
      <w:pPr>
        <w:spacing w:after="0" w:line="240" w:lineRule="auto"/>
      </w:pPr>
    </w:p>
    <w:p w14:paraId="0ED74258" w14:textId="77777777" w:rsidR="005272CC" w:rsidRDefault="005272CC" w:rsidP="00BF49B9">
      <w:pPr>
        <w:spacing w:after="0" w:line="240" w:lineRule="auto"/>
      </w:pPr>
    </w:p>
    <w:p w14:paraId="7318D9B2" w14:textId="3CC086D0" w:rsidR="005272CC" w:rsidRDefault="00704DB1" w:rsidP="005272CC">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r>
        <w:rPr>
          <w:rFonts w:eastAsia="Batang" w:cs="Times New Roman"/>
          <w:b/>
          <w:bCs/>
          <w:szCs w:val="24"/>
          <w:lang w:val="es-ES_tradnl" w:eastAsia="es-ES"/>
        </w:rPr>
        <w:t>EJERCICIO 2020</w:t>
      </w:r>
    </w:p>
    <w:p w14:paraId="1B648436" w14:textId="77777777" w:rsidR="00551C7D" w:rsidRDefault="00551C7D" w:rsidP="005272CC">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p>
    <w:p w14:paraId="7A30C755" w14:textId="77777777" w:rsidR="00551C7D" w:rsidRPr="005272CC" w:rsidRDefault="00551C7D" w:rsidP="005272CC">
      <w:pPr>
        <w:overflowPunct w:val="0"/>
        <w:autoSpaceDE w:val="0"/>
        <w:autoSpaceDN w:val="0"/>
        <w:adjustRightInd w:val="0"/>
        <w:spacing w:after="0" w:line="240" w:lineRule="auto"/>
        <w:ind w:right="405"/>
        <w:jc w:val="center"/>
        <w:textAlignment w:val="baseline"/>
        <w:outlineLvl w:val="0"/>
        <w:rPr>
          <w:rFonts w:eastAsia="Batang" w:cs="Times New Roman"/>
          <w:b/>
          <w:bCs/>
          <w:szCs w:val="24"/>
          <w:lang w:val="es-ES_tradnl" w:eastAsia="es-ES"/>
        </w:rPr>
      </w:pPr>
      <w:r>
        <w:rPr>
          <w:rFonts w:eastAsia="Batang" w:cs="Times New Roman"/>
          <w:b/>
          <w:bCs/>
          <w:szCs w:val="24"/>
          <w:lang w:val="es-ES_tradnl" w:eastAsia="es-ES"/>
        </w:rPr>
        <w:t>ALIMENTOS Y ACEITES S.A. S.M.E.</w:t>
      </w:r>
    </w:p>
    <w:p w14:paraId="3C5BFF2A" w14:textId="77777777" w:rsidR="005272CC" w:rsidRPr="005272CC" w:rsidRDefault="005272CC" w:rsidP="005272CC">
      <w:pPr>
        <w:overflowPunct w:val="0"/>
        <w:autoSpaceDE w:val="0"/>
        <w:autoSpaceDN w:val="0"/>
        <w:adjustRightInd w:val="0"/>
        <w:spacing w:after="0" w:line="240" w:lineRule="auto"/>
        <w:ind w:right="405"/>
        <w:jc w:val="center"/>
        <w:textAlignment w:val="baseline"/>
        <w:rPr>
          <w:rFonts w:eastAsia="Batang" w:cs="Times New Roman"/>
          <w:b/>
          <w:szCs w:val="24"/>
          <w:lang w:val="es-ES_tradnl" w:eastAsia="es-ES"/>
        </w:rPr>
      </w:pPr>
    </w:p>
    <w:p w14:paraId="3058CEB1" w14:textId="77777777" w:rsidR="005272CC" w:rsidRPr="005272CC" w:rsidRDefault="005272CC" w:rsidP="005272CC">
      <w:pPr>
        <w:overflowPunct w:val="0"/>
        <w:autoSpaceDE w:val="0"/>
        <w:autoSpaceDN w:val="0"/>
        <w:adjustRightInd w:val="0"/>
        <w:spacing w:after="0" w:line="240" w:lineRule="auto"/>
        <w:ind w:right="405"/>
        <w:jc w:val="center"/>
        <w:textAlignment w:val="baseline"/>
        <w:rPr>
          <w:rFonts w:eastAsia="Batang" w:cs="Times New Roman"/>
          <w:b/>
          <w:szCs w:val="24"/>
          <w:lang w:val="es-ES_tradnl" w:eastAsia="es-ES"/>
        </w:rPr>
      </w:pPr>
      <w:r w:rsidRPr="005272CC">
        <w:rPr>
          <w:rFonts w:eastAsia="Batang" w:cs="Times New Roman"/>
          <w:b/>
          <w:szCs w:val="24"/>
          <w:lang w:val="es-ES_tradnl" w:eastAsia="es-ES"/>
        </w:rPr>
        <w:t xml:space="preserve">MEMORIA CORRESPONDIENTE </w:t>
      </w:r>
    </w:p>
    <w:p w14:paraId="59FE2D5F" w14:textId="67CF4AFB" w:rsidR="005272CC" w:rsidRPr="005272CC" w:rsidRDefault="005272CC" w:rsidP="005272CC">
      <w:pPr>
        <w:overflowPunct w:val="0"/>
        <w:autoSpaceDE w:val="0"/>
        <w:autoSpaceDN w:val="0"/>
        <w:adjustRightInd w:val="0"/>
        <w:spacing w:after="0" w:line="240" w:lineRule="auto"/>
        <w:ind w:right="405"/>
        <w:jc w:val="center"/>
        <w:textAlignment w:val="baseline"/>
        <w:rPr>
          <w:rFonts w:eastAsia="Batang" w:cs="Times New Roman"/>
          <w:b/>
          <w:szCs w:val="24"/>
          <w:lang w:val="es-ES_tradnl" w:eastAsia="es-ES"/>
        </w:rPr>
      </w:pPr>
      <w:r w:rsidRPr="005272CC">
        <w:rPr>
          <w:rFonts w:eastAsia="Batang" w:cs="Times New Roman"/>
          <w:b/>
          <w:szCs w:val="24"/>
          <w:lang w:val="es-ES_tradnl" w:eastAsia="es-ES"/>
        </w:rPr>
        <w:t xml:space="preserve">AL EJERCICIO </w:t>
      </w:r>
      <w:r w:rsidR="00704DB1">
        <w:rPr>
          <w:rFonts w:eastAsia="Batang" w:cs="Times New Roman"/>
          <w:b/>
          <w:szCs w:val="24"/>
          <w:lang w:val="es-ES_tradnl" w:eastAsia="es-ES"/>
        </w:rPr>
        <w:t>ANUAL 2020</w:t>
      </w:r>
    </w:p>
    <w:p w14:paraId="071F83E3" w14:textId="77777777" w:rsidR="005272CC" w:rsidRPr="005272CC" w:rsidRDefault="005272CC" w:rsidP="005272CC">
      <w:pPr>
        <w:overflowPunct w:val="0"/>
        <w:autoSpaceDE w:val="0"/>
        <w:autoSpaceDN w:val="0"/>
        <w:adjustRightInd w:val="0"/>
        <w:spacing w:after="0" w:line="240" w:lineRule="auto"/>
        <w:ind w:right="405"/>
        <w:jc w:val="center"/>
        <w:textAlignment w:val="baseline"/>
        <w:rPr>
          <w:rFonts w:eastAsia="Batang" w:cs="Times New Roman"/>
          <w:b/>
          <w:szCs w:val="24"/>
          <w:lang w:val="es-ES_tradnl" w:eastAsia="es-ES"/>
        </w:rPr>
      </w:pPr>
      <w:r w:rsidRPr="005272CC">
        <w:rPr>
          <w:rFonts w:eastAsia="Batang" w:cs="Times New Roman"/>
          <w:b/>
          <w:szCs w:val="24"/>
          <w:lang w:val="es-ES_tradnl" w:eastAsia="es-ES"/>
        </w:rPr>
        <w:t>FINALIZADO EL 31 DE DICIEMBRE</w:t>
      </w:r>
    </w:p>
    <w:p w14:paraId="5F133DEE" w14:textId="77777777" w:rsidR="00F90F97" w:rsidRDefault="00F90F97" w:rsidP="00BF49B9">
      <w:pPr>
        <w:spacing w:after="0" w:line="240" w:lineRule="auto"/>
      </w:pPr>
    </w:p>
    <w:p w14:paraId="003BC295" w14:textId="77777777" w:rsidR="00F90F97" w:rsidRDefault="00F90F97" w:rsidP="00BF49B9">
      <w:pPr>
        <w:spacing w:after="0" w:line="240" w:lineRule="auto"/>
      </w:pPr>
      <w:r>
        <w:br w:type="page"/>
      </w:r>
    </w:p>
    <w:p w14:paraId="0FA48FEB" w14:textId="77777777" w:rsidR="00F90F97" w:rsidRDefault="00F90F97" w:rsidP="00BF49B9">
      <w:pPr>
        <w:spacing w:after="0" w:line="240" w:lineRule="auto"/>
      </w:pPr>
    </w:p>
    <w:p w14:paraId="16602410" w14:textId="77777777" w:rsidR="00AE7FF0" w:rsidRDefault="00AE7FF0" w:rsidP="00BF49B9">
      <w:pPr>
        <w:spacing w:after="0" w:line="240" w:lineRule="auto"/>
      </w:pPr>
    </w:p>
    <w:p w14:paraId="3ACA0AF4" w14:textId="77777777" w:rsidR="00AE7FF0" w:rsidRDefault="00AE7FF0" w:rsidP="00BF49B9">
      <w:pPr>
        <w:spacing w:after="0" w:line="240" w:lineRule="auto"/>
      </w:pPr>
    </w:p>
    <w:p w14:paraId="7412F579" w14:textId="77777777" w:rsidR="00AE7FF0" w:rsidRDefault="00AE7FF0" w:rsidP="00BF49B9">
      <w:pPr>
        <w:spacing w:after="0" w:line="240" w:lineRule="auto"/>
      </w:pPr>
    </w:p>
    <w:p w14:paraId="3731F048" w14:textId="77777777" w:rsidR="00F90F97" w:rsidRDefault="00F90F97" w:rsidP="00BF49B9">
      <w:pPr>
        <w:spacing w:after="0" w:line="240" w:lineRule="auto"/>
      </w:pPr>
    </w:p>
    <w:p w14:paraId="11DBCE0F" w14:textId="77777777" w:rsidR="005272CC" w:rsidRPr="005272CC" w:rsidRDefault="005272CC" w:rsidP="005272CC">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lang w:val="es-ES_tradnl" w:eastAsia="es-ES"/>
        </w:rPr>
      </w:pPr>
      <w:r w:rsidRPr="005272CC">
        <w:rPr>
          <w:rFonts w:eastAsia="Batang" w:cs="Times New Roman"/>
          <w:b/>
          <w:bCs/>
          <w:szCs w:val="24"/>
          <w:u w:val="single"/>
          <w:lang w:val="es-ES_tradnl" w:eastAsia="es-ES"/>
        </w:rPr>
        <w:t>ACTIVIDAD DE LA EMPRESA</w:t>
      </w:r>
    </w:p>
    <w:p w14:paraId="387CE194" w14:textId="77777777" w:rsidR="005272CC" w:rsidRPr="005272CC" w:rsidRDefault="005272CC" w:rsidP="005272CC">
      <w:pPr>
        <w:overflowPunct w:val="0"/>
        <w:autoSpaceDE w:val="0"/>
        <w:autoSpaceDN w:val="0"/>
        <w:adjustRightInd w:val="0"/>
        <w:spacing w:after="0" w:line="240" w:lineRule="auto"/>
        <w:ind w:right="1025"/>
        <w:textAlignment w:val="baseline"/>
        <w:outlineLvl w:val="0"/>
        <w:rPr>
          <w:rFonts w:eastAsia="Batang" w:cs="Times New Roman"/>
          <w:b/>
          <w:bCs/>
          <w:szCs w:val="24"/>
          <w:lang w:val="es-ES_tradnl" w:eastAsia="es-ES"/>
        </w:rPr>
      </w:pPr>
    </w:p>
    <w:p w14:paraId="29E6B339" w14:textId="77777777"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5272CC">
        <w:rPr>
          <w:rFonts w:eastAsia="Batang" w:cs="Times New Roman"/>
          <w:szCs w:val="24"/>
          <w:lang w:val="es-ES_tradnl" w:eastAsia="es-ES"/>
        </w:rPr>
        <w:t xml:space="preserve">Alimentos y Aceites, S.A. </w:t>
      </w:r>
      <w:r w:rsidR="00D14F99">
        <w:rPr>
          <w:rFonts w:eastAsia="Batang" w:cs="Times New Roman"/>
          <w:szCs w:val="24"/>
          <w:lang w:val="es-ES_tradnl" w:eastAsia="es-ES"/>
        </w:rPr>
        <w:t xml:space="preserve">S.M.E. </w:t>
      </w:r>
      <w:r w:rsidRPr="005272CC">
        <w:rPr>
          <w:rFonts w:eastAsia="Batang" w:cs="Times New Roman"/>
          <w:szCs w:val="24"/>
          <w:lang w:val="es-ES_tradnl" w:eastAsia="es-ES"/>
        </w:rPr>
        <w:t>(en adelante la Sociedad</w:t>
      </w:r>
      <w:r w:rsidR="008856DD">
        <w:rPr>
          <w:rFonts w:eastAsia="Batang" w:cs="Times New Roman"/>
          <w:szCs w:val="24"/>
          <w:lang w:val="es-ES_tradnl" w:eastAsia="es-ES"/>
        </w:rPr>
        <w:t xml:space="preserve"> o Alimentos y Aceites</w:t>
      </w:r>
      <w:r w:rsidRPr="005272CC">
        <w:rPr>
          <w:rFonts w:eastAsia="Batang" w:cs="Times New Roman"/>
          <w:szCs w:val="24"/>
          <w:lang w:val="es-ES_tradnl" w:eastAsia="es-ES"/>
        </w:rPr>
        <w:t xml:space="preserve">) se constituyó como sociedad anónima estatal, de las previstas en el artículo </w:t>
      </w:r>
      <w:smartTag w:uri="urn:schemas-microsoft-com:office:smarttags" w:element="metricconverter">
        <w:smartTagPr>
          <w:attr w:name="ProductID" w:val="6.1 a"/>
        </w:smartTagPr>
        <w:r w:rsidRPr="005272CC">
          <w:rPr>
            <w:rFonts w:eastAsia="Batang" w:cs="Times New Roman"/>
            <w:szCs w:val="24"/>
            <w:lang w:val="es-ES_tradnl" w:eastAsia="es-ES"/>
          </w:rPr>
          <w:t>6.1 a</w:t>
        </w:r>
      </w:smartTag>
      <w:r w:rsidRPr="005272CC">
        <w:rPr>
          <w:rFonts w:eastAsia="Batang" w:cs="Times New Roman"/>
          <w:szCs w:val="24"/>
          <w:lang w:val="es-ES_tradnl" w:eastAsia="es-ES"/>
        </w:rPr>
        <w:t>) del Real Decreto legislativo nº 1091/88 de 23 de septiembre, en España el 23 de julio de 1991, tras el acuerdo del Consejo de Ministros de 21 de junio de 1991, por un período de tiempo indefinido.</w:t>
      </w:r>
    </w:p>
    <w:p w14:paraId="12765DFD" w14:textId="77777777"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620062F0" w14:textId="77777777"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5272CC">
        <w:rPr>
          <w:rFonts w:eastAsia="Batang" w:cs="Times New Roman"/>
          <w:szCs w:val="24"/>
          <w:lang w:val="es-ES_tradnl" w:eastAsia="es-ES"/>
        </w:rPr>
        <w:t xml:space="preserve">Con fecha 25 de mayo de 2001, el Consejo de Ministros acordó su incorporación en </w:t>
      </w:r>
      <w:smartTag w:uri="urn:schemas-microsoft-com:office:smarttags" w:element="PersonName">
        <w:smartTagPr>
          <w:attr w:name="ProductID" w:val="la Sociedad Estatal"/>
        </w:smartTagPr>
        <w:r w:rsidRPr="005272CC">
          <w:rPr>
            <w:rFonts w:eastAsia="Batang" w:cs="Times New Roman"/>
            <w:szCs w:val="24"/>
            <w:lang w:val="es-ES_tradnl" w:eastAsia="es-ES"/>
          </w:rPr>
          <w:t>la Sociedad Estatal</w:t>
        </w:r>
      </w:smartTag>
      <w:r w:rsidRPr="005272CC">
        <w:rPr>
          <w:rFonts w:eastAsia="Batang" w:cs="Times New Roman"/>
          <w:szCs w:val="24"/>
          <w:lang w:val="es-ES_tradnl" w:eastAsia="es-ES"/>
        </w:rPr>
        <w:t xml:space="preserve"> de Participaciones Industriales (SEPI), perteneciendo al Grupo consolidado de la misma. De acuerdo con lo establecido en el artículo 136.4 de </w:t>
      </w:r>
      <w:smartTag w:uri="urn:schemas-microsoft-com:office:smarttags" w:element="PersonName">
        <w:smartTagPr>
          <w:attr w:name="ProductID" w:val="la Ley"/>
        </w:smartTagPr>
        <w:r w:rsidRPr="005272CC">
          <w:rPr>
            <w:rFonts w:eastAsia="Batang" w:cs="Times New Roman"/>
            <w:szCs w:val="24"/>
            <w:lang w:val="es-ES_tradnl" w:eastAsia="es-ES"/>
          </w:rPr>
          <w:t>la Ley</w:t>
        </w:r>
      </w:smartTag>
      <w:r w:rsidRPr="005272CC">
        <w:rPr>
          <w:rFonts w:eastAsia="Batang" w:cs="Times New Roman"/>
          <w:szCs w:val="24"/>
          <w:lang w:val="es-ES_tradnl" w:eastAsia="es-ES"/>
        </w:rPr>
        <w:t xml:space="preserve"> 47/2003, de 20 de noviembre, de </w:t>
      </w:r>
      <w:smartTag w:uri="urn:schemas-microsoft-com:office:smarttags" w:element="PersonName">
        <w:smartTagPr>
          <w:attr w:name="ProductID" w:val="la Ley General Presupuestaria"/>
        </w:smartTagPr>
        <w:smartTag w:uri="urn:schemas-microsoft-com:office:smarttags" w:element="PersonName">
          <w:smartTagPr>
            <w:attr w:name="ProductID" w:val="la Ley General"/>
          </w:smartTagPr>
          <w:smartTag w:uri="urn:schemas-microsoft-com:office:smarttags" w:element="PersonName">
            <w:smartTagPr>
              <w:attr w:name="ProductID" w:val="la Ley"/>
            </w:smartTagPr>
            <w:r w:rsidRPr="005272CC">
              <w:rPr>
                <w:rFonts w:eastAsia="Batang" w:cs="Times New Roman"/>
                <w:szCs w:val="24"/>
                <w:lang w:val="es-ES_tradnl" w:eastAsia="es-ES"/>
              </w:rPr>
              <w:t>la Ley</w:t>
            </w:r>
          </w:smartTag>
          <w:r w:rsidRPr="005272CC">
            <w:rPr>
              <w:rFonts w:eastAsia="Batang" w:cs="Times New Roman"/>
              <w:szCs w:val="24"/>
              <w:lang w:val="es-ES_tradnl" w:eastAsia="es-ES"/>
            </w:rPr>
            <w:t xml:space="preserve"> General</w:t>
          </w:r>
        </w:smartTag>
        <w:r w:rsidRPr="005272CC">
          <w:rPr>
            <w:rFonts w:eastAsia="Batang" w:cs="Times New Roman"/>
            <w:szCs w:val="24"/>
            <w:lang w:val="es-ES_tradnl" w:eastAsia="es-ES"/>
          </w:rPr>
          <w:t xml:space="preserve"> Presupuestaria</w:t>
        </w:r>
      </w:smartTag>
      <w:r w:rsidRPr="005272CC">
        <w:rPr>
          <w:rFonts w:eastAsia="Batang" w:cs="Times New Roman"/>
          <w:szCs w:val="24"/>
          <w:lang w:val="es-ES_tradnl" w:eastAsia="es-ES"/>
        </w:rPr>
        <w:t>, SEPI al no ser una sociedad mercantil, no está obligada a depositar sus cuentas consolidadas en el Registro Mercantil.</w:t>
      </w:r>
    </w:p>
    <w:p w14:paraId="43E07B96" w14:textId="77777777"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15F200A3" w14:textId="77777777" w:rsidR="005272CC" w:rsidRPr="005272CC" w:rsidRDefault="005272CC" w:rsidP="005272CC">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5272CC">
        <w:rPr>
          <w:rFonts w:eastAsia="Batang" w:cs="Times New Roman"/>
          <w:szCs w:val="24"/>
          <w:lang w:val="es-ES_tradnl" w:eastAsia="es-ES"/>
        </w:rPr>
        <w:t xml:space="preserve">El objeto social y la actividad principal de </w:t>
      </w:r>
      <w:smartTag w:uri="urn:schemas-microsoft-com:office:smarttags" w:element="PersonName">
        <w:smartTagPr>
          <w:attr w:name="ProductID" w:val="la Sociedad"/>
        </w:smartTagPr>
        <w:r w:rsidRPr="005272CC">
          <w:rPr>
            <w:rFonts w:eastAsia="Batang" w:cs="Times New Roman"/>
            <w:szCs w:val="24"/>
            <w:lang w:val="es-ES_tradnl" w:eastAsia="es-ES"/>
          </w:rPr>
          <w:t>la Sociedad</w:t>
        </w:r>
      </w:smartTag>
      <w:r w:rsidRPr="005272CC">
        <w:rPr>
          <w:rFonts w:eastAsia="Batang" w:cs="Times New Roman"/>
          <w:szCs w:val="24"/>
          <w:lang w:val="es-ES_tradnl" w:eastAsia="es-ES"/>
        </w:rPr>
        <w:t xml:space="preserve"> consiste en la tenencia o gestión de activos de propiedad pública en el sector de aceites vegetales y otros productos agroalimentarios, tanto de forma directa como indirecta.</w:t>
      </w:r>
    </w:p>
    <w:p w14:paraId="000F2A36" w14:textId="77777777" w:rsidR="005272CC" w:rsidRPr="005272CC" w:rsidRDefault="005272CC" w:rsidP="005272CC">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60D3078C" w14:textId="77777777" w:rsidR="005272CC" w:rsidRPr="005272CC" w:rsidRDefault="005272CC" w:rsidP="005272CC">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5272CC">
        <w:rPr>
          <w:rFonts w:eastAsia="Batang" w:cs="Times New Roman"/>
          <w:szCs w:val="24"/>
          <w:lang w:val="es-ES_tradnl" w:eastAsia="es-ES"/>
        </w:rPr>
        <w:t>La Sociedad tiene su domicilio social y fiscal en Madrid.</w:t>
      </w:r>
    </w:p>
    <w:p w14:paraId="1AD56CF7" w14:textId="77777777" w:rsidR="005272CC" w:rsidRPr="005272CC" w:rsidRDefault="005272CC" w:rsidP="005272CC">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08C1FE73" w14:textId="77777777" w:rsidR="005272CC" w:rsidRPr="005272CC" w:rsidRDefault="005272CC" w:rsidP="005272CC">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154B3688" w14:textId="77777777" w:rsidR="005272CC" w:rsidRPr="005272CC" w:rsidRDefault="005272CC" w:rsidP="005272CC">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5272CC">
        <w:rPr>
          <w:rFonts w:eastAsia="Batang" w:cs="Times New Roman"/>
          <w:b/>
          <w:bCs/>
          <w:szCs w:val="24"/>
          <w:u w:val="single"/>
          <w:lang w:val="es-ES_tradnl" w:eastAsia="es-ES"/>
        </w:rPr>
        <w:t>BASES DE PRESENTACIÓN DE LAS CUENTAS ANUALES</w:t>
      </w:r>
    </w:p>
    <w:p w14:paraId="0177AE17" w14:textId="77777777" w:rsidR="005272CC" w:rsidRPr="005272CC" w:rsidRDefault="005272CC" w:rsidP="005272CC">
      <w:pPr>
        <w:tabs>
          <w:tab w:val="num" w:pos="540"/>
        </w:tabs>
        <w:overflowPunct w:val="0"/>
        <w:autoSpaceDE w:val="0"/>
        <w:autoSpaceDN w:val="0"/>
        <w:adjustRightInd w:val="0"/>
        <w:spacing w:after="0" w:line="240" w:lineRule="auto"/>
        <w:ind w:left="567" w:right="1025" w:hanging="567"/>
        <w:textAlignment w:val="baseline"/>
        <w:outlineLvl w:val="0"/>
        <w:rPr>
          <w:rFonts w:eastAsia="Batang" w:cs="Times New Roman"/>
          <w:b/>
          <w:bCs/>
          <w:szCs w:val="24"/>
          <w:u w:val="single"/>
          <w:lang w:val="es-ES_tradnl" w:eastAsia="es-ES"/>
        </w:rPr>
      </w:pPr>
    </w:p>
    <w:p w14:paraId="675E620C"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t>Marco normativo de información financiera aplicable a la Sociedad</w:t>
      </w:r>
    </w:p>
    <w:p w14:paraId="2AE46152" w14:textId="77777777" w:rsidR="005272CC" w:rsidRPr="005272CC" w:rsidRDefault="005272CC" w:rsidP="005272CC">
      <w:pPr>
        <w:spacing w:after="0" w:line="240" w:lineRule="auto"/>
        <w:ind w:left="397"/>
        <w:rPr>
          <w:rFonts w:eastAsia="Times New Roman" w:cs="Times New Roman"/>
          <w:szCs w:val="24"/>
          <w:lang w:val="es-ES_tradnl" w:eastAsia="es-ES"/>
        </w:rPr>
      </w:pPr>
    </w:p>
    <w:p w14:paraId="16764881"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 xml:space="preserve">Estas cuentas anuales se han formulado por el Administrador Único de acuerdo con el marco normativo de información financiera aplicable a </w:t>
      </w:r>
      <w:smartTag w:uri="urn:schemas-microsoft-com:office:smarttags" w:element="PersonName">
        <w:smartTagPr>
          <w:attr w:name="ProductID" w:val="la Sociedad"/>
        </w:smartTagPr>
        <w:r w:rsidRPr="005272CC">
          <w:rPr>
            <w:rFonts w:eastAsia="Times New Roman" w:cs="Times New Roman"/>
            <w:szCs w:val="24"/>
            <w:lang w:val="es-ES_tradnl" w:eastAsia="es-ES"/>
          </w:rPr>
          <w:t>la Sociedad</w:t>
        </w:r>
      </w:smartTag>
      <w:r w:rsidRPr="005272CC">
        <w:rPr>
          <w:rFonts w:eastAsia="Times New Roman" w:cs="Times New Roman"/>
          <w:szCs w:val="24"/>
          <w:lang w:val="es-ES_tradnl" w:eastAsia="es-ES"/>
        </w:rPr>
        <w:t>, que es el establecido en:</w:t>
      </w:r>
    </w:p>
    <w:p w14:paraId="52C83BCD" w14:textId="77777777" w:rsidR="005272CC" w:rsidRPr="005272CC" w:rsidRDefault="005272CC" w:rsidP="005272CC">
      <w:pPr>
        <w:spacing w:after="0" w:line="240" w:lineRule="auto"/>
        <w:ind w:left="397"/>
        <w:jc w:val="both"/>
        <w:rPr>
          <w:rFonts w:eastAsia="Times New Roman" w:cs="Times New Roman"/>
          <w:szCs w:val="24"/>
          <w:lang w:val="es-ES_tradnl" w:eastAsia="es-ES"/>
        </w:rPr>
      </w:pPr>
    </w:p>
    <w:p w14:paraId="66AB177D" w14:textId="77777777" w:rsidR="005272CC" w:rsidRPr="005272CC" w:rsidRDefault="005272CC" w:rsidP="005272CC">
      <w:pPr>
        <w:numPr>
          <w:ilvl w:val="0"/>
          <w:numId w:val="2"/>
        </w:numPr>
        <w:tabs>
          <w:tab w:val="num" w:pos="851"/>
        </w:tabs>
        <w:spacing w:after="0" w:line="240" w:lineRule="auto"/>
        <w:ind w:left="851" w:hanging="284"/>
        <w:jc w:val="both"/>
        <w:rPr>
          <w:rFonts w:eastAsia="Times New Roman" w:cs="Times New Roman"/>
          <w:szCs w:val="24"/>
          <w:lang w:val="es-ES_tradnl" w:eastAsia="es-ES"/>
        </w:rPr>
      </w:pPr>
      <w:r w:rsidRPr="005272CC">
        <w:rPr>
          <w:rFonts w:eastAsia="Times New Roman" w:cs="Times New Roman"/>
          <w:szCs w:val="24"/>
          <w:lang w:val="es-ES_tradnl" w:eastAsia="es-ES"/>
        </w:rPr>
        <w:t xml:space="preserve">Código de Comercio y la restante legislación mercantil. </w:t>
      </w:r>
    </w:p>
    <w:p w14:paraId="4CB10574" w14:textId="77777777" w:rsidR="005272CC" w:rsidRPr="005272CC" w:rsidRDefault="005272CC" w:rsidP="005272CC">
      <w:pPr>
        <w:numPr>
          <w:ilvl w:val="0"/>
          <w:numId w:val="2"/>
        </w:numPr>
        <w:tabs>
          <w:tab w:val="num" w:pos="851"/>
        </w:tabs>
        <w:spacing w:after="0" w:line="240" w:lineRule="auto"/>
        <w:ind w:left="851" w:hanging="284"/>
        <w:jc w:val="both"/>
        <w:rPr>
          <w:rFonts w:eastAsia="Times New Roman" w:cs="Times New Roman"/>
          <w:szCs w:val="24"/>
          <w:lang w:val="es-ES_tradnl" w:eastAsia="es-ES"/>
        </w:rPr>
      </w:pPr>
      <w:r w:rsidRPr="005272CC">
        <w:rPr>
          <w:rFonts w:eastAsia="Times New Roman" w:cs="Times New Roman"/>
          <w:szCs w:val="24"/>
          <w:lang w:val="es-ES_tradnl" w:eastAsia="es-ES"/>
        </w:rPr>
        <w:t>Plan General de Contabilidad aprobado por el Real Decreto 1514/2007 de 16 de noviembre, aplicando las modificaciones introducidas al mismo mediante el Real Decreto 1159/2010.</w:t>
      </w:r>
    </w:p>
    <w:p w14:paraId="3E2B1453" w14:textId="77777777" w:rsidR="005272CC" w:rsidRPr="005272CC" w:rsidRDefault="005272CC" w:rsidP="005272CC">
      <w:pPr>
        <w:numPr>
          <w:ilvl w:val="0"/>
          <w:numId w:val="2"/>
        </w:numPr>
        <w:tabs>
          <w:tab w:val="num" w:pos="851"/>
        </w:tabs>
        <w:spacing w:after="0" w:line="240" w:lineRule="auto"/>
        <w:ind w:left="851" w:hanging="284"/>
        <w:jc w:val="both"/>
        <w:rPr>
          <w:rFonts w:eastAsia="Times New Roman" w:cs="Times New Roman"/>
          <w:szCs w:val="24"/>
          <w:lang w:val="es-ES_tradnl" w:eastAsia="es-ES"/>
        </w:rPr>
      </w:pPr>
      <w:r w:rsidRPr="005272CC">
        <w:rPr>
          <w:rFonts w:eastAsia="Times New Roman" w:cs="Times New Roman"/>
          <w:szCs w:val="24"/>
          <w:lang w:val="es-ES_tradnl" w:eastAsia="es-ES"/>
        </w:rPr>
        <w:t>Las normas de obligado cumplimiento aprobadas por el Instituto de Contabilidad y Auditoría de Cuentas en desarrollo del Plan General de Contabilidad y sus normas complementarias.</w:t>
      </w:r>
    </w:p>
    <w:p w14:paraId="15B77E2F" w14:textId="77777777" w:rsidR="005272CC" w:rsidRPr="005272CC" w:rsidRDefault="005272CC" w:rsidP="005272CC">
      <w:pPr>
        <w:numPr>
          <w:ilvl w:val="0"/>
          <w:numId w:val="2"/>
        </w:numPr>
        <w:tabs>
          <w:tab w:val="num" w:pos="851"/>
        </w:tabs>
        <w:spacing w:after="0" w:line="240" w:lineRule="auto"/>
        <w:ind w:left="851" w:hanging="284"/>
        <w:jc w:val="both"/>
        <w:rPr>
          <w:rFonts w:eastAsia="Times New Roman" w:cs="Times New Roman"/>
          <w:szCs w:val="24"/>
          <w:lang w:val="es-ES_tradnl" w:eastAsia="es-ES"/>
        </w:rPr>
      </w:pPr>
      <w:r w:rsidRPr="005272CC">
        <w:rPr>
          <w:rFonts w:eastAsia="Times New Roman" w:cs="Times New Roman"/>
          <w:szCs w:val="24"/>
          <w:lang w:val="es-ES_tradnl" w:eastAsia="es-ES"/>
        </w:rPr>
        <w:t>El resto de la normativa contable española que resulte de aplicación.</w:t>
      </w:r>
    </w:p>
    <w:p w14:paraId="3B70963C" w14:textId="77777777" w:rsidR="00F90F97" w:rsidRPr="005272CC" w:rsidRDefault="00F90F97" w:rsidP="00BF49B9">
      <w:pPr>
        <w:spacing w:after="0" w:line="240" w:lineRule="auto"/>
        <w:rPr>
          <w:lang w:val="es-ES_tradnl"/>
        </w:rPr>
      </w:pPr>
    </w:p>
    <w:p w14:paraId="6940485F" w14:textId="77777777" w:rsidR="00F90F97" w:rsidRDefault="00F90F97" w:rsidP="00BF49B9">
      <w:pPr>
        <w:spacing w:after="0" w:line="240" w:lineRule="auto"/>
      </w:pPr>
    </w:p>
    <w:p w14:paraId="622556C7" w14:textId="77777777" w:rsidR="00F90F97" w:rsidRDefault="00F90F97" w:rsidP="00BF49B9">
      <w:pPr>
        <w:spacing w:after="0" w:line="240" w:lineRule="auto"/>
      </w:pPr>
    </w:p>
    <w:p w14:paraId="4D7EEA35" w14:textId="77777777" w:rsidR="00F90F97" w:rsidRDefault="00F90F97" w:rsidP="00BF49B9">
      <w:pPr>
        <w:spacing w:after="0" w:line="240" w:lineRule="auto"/>
      </w:pPr>
      <w:r>
        <w:br w:type="page"/>
      </w:r>
    </w:p>
    <w:p w14:paraId="28F9E576" w14:textId="77777777" w:rsidR="00F90F97" w:rsidRDefault="00F90F97" w:rsidP="00BF49B9">
      <w:pPr>
        <w:spacing w:after="0" w:line="240" w:lineRule="auto"/>
      </w:pPr>
    </w:p>
    <w:p w14:paraId="15E4AE78"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t>Imagen fiel</w:t>
      </w:r>
    </w:p>
    <w:p w14:paraId="0105F9D4" w14:textId="77777777" w:rsidR="005272CC" w:rsidRPr="005272CC" w:rsidRDefault="005272CC" w:rsidP="005272CC">
      <w:pPr>
        <w:overflowPunct w:val="0"/>
        <w:autoSpaceDE w:val="0"/>
        <w:autoSpaceDN w:val="0"/>
        <w:adjustRightInd w:val="0"/>
        <w:spacing w:after="0" w:line="240" w:lineRule="auto"/>
        <w:jc w:val="both"/>
        <w:textAlignment w:val="baseline"/>
        <w:rPr>
          <w:rFonts w:eastAsia="Batang" w:cs="Times New Roman"/>
          <w:b/>
          <w:bCs/>
          <w:szCs w:val="24"/>
          <w:lang w:val="es-ES_tradnl" w:eastAsia="es-ES"/>
        </w:rPr>
      </w:pPr>
    </w:p>
    <w:p w14:paraId="5D4DF163"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Las cuentas anuales adjuntas han sido obtenidas de los registros contables de la Sociedad y se presentan de acuerdo con la legislación mercantil vigente y con las normas establecidas en el Plan General de Contabilidad, aprobado mediante RD 1514/2007 y las modificaciones incorporadas a éste mediante RD 1159/2010, con el objeto de mostrar la imagen fiel del patrimonio, de la situación financiera y de los resultados de la Sociedad.</w:t>
      </w:r>
    </w:p>
    <w:p w14:paraId="123245BA"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2DA99895"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 xml:space="preserve">Dichas cuentas anuales, han sido formuladas por el Representante Persona Física del Administrador Único y se someterán a la aprobación por </w:t>
      </w:r>
      <w:smartTag w:uri="urn:schemas-microsoft-com:office:smarttags" w:element="PersonName">
        <w:smartTagPr>
          <w:attr w:name="ProductID" w:val="la Junta General Ordinaria"/>
        </w:smartTagPr>
        <w:smartTag w:uri="urn:schemas-microsoft-com:office:smarttags" w:element="PersonName">
          <w:smartTagPr>
            <w:attr w:name="ProductID" w:val="la Junta General"/>
          </w:smartTagPr>
          <w:smartTag w:uri="urn:schemas-microsoft-com:office:smarttags" w:element="PersonName">
            <w:smartTagPr>
              <w:attr w:name="ProductID" w:val="la Junta"/>
            </w:smartTagPr>
            <w:r w:rsidRPr="005272CC">
              <w:rPr>
                <w:rFonts w:eastAsia="Times New Roman" w:cs="Times New Roman"/>
                <w:szCs w:val="24"/>
                <w:lang w:val="es-ES_tradnl" w:eastAsia="es-ES"/>
              </w:rPr>
              <w:t>la Junta</w:t>
            </w:r>
          </w:smartTag>
          <w:r w:rsidRPr="005272CC">
            <w:rPr>
              <w:rFonts w:eastAsia="Times New Roman" w:cs="Times New Roman"/>
              <w:szCs w:val="24"/>
              <w:lang w:val="es-ES_tradnl" w:eastAsia="es-ES"/>
            </w:rPr>
            <w:t xml:space="preserve"> General</w:t>
          </w:r>
        </w:smartTag>
        <w:r w:rsidRPr="005272CC">
          <w:rPr>
            <w:rFonts w:eastAsia="Times New Roman" w:cs="Times New Roman"/>
            <w:szCs w:val="24"/>
            <w:lang w:val="es-ES_tradnl" w:eastAsia="es-ES"/>
          </w:rPr>
          <w:t xml:space="preserve"> Ordinaria</w:t>
        </w:r>
      </w:smartTag>
      <w:r w:rsidRPr="005272CC">
        <w:rPr>
          <w:rFonts w:eastAsia="Times New Roman" w:cs="Times New Roman"/>
          <w:szCs w:val="24"/>
          <w:lang w:val="es-ES_tradnl" w:eastAsia="es-ES"/>
        </w:rPr>
        <w:t xml:space="preserve"> de Accionistas, estimándose que serán aprobadas sin ninguna modificación.</w:t>
      </w:r>
    </w:p>
    <w:p w14:paraId="5E4F65D1"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2701ED07" w14:textId="5DAAEEE2" w:rsidR="005272CC" w:rsidRPr="005272CC" w:rsidRDefault="005272CC" w:rsidP="005272CC">
      <w:pPr>
        <w:spacing w:after="0" w:line="240" w:lineRule="auto"/>
        <w:ind w:left="567"/>
        <w:jc w:val="both"/>
        <w:rPr>
          <w:rFonts w:eastAsia="Times New Roman" w:cs="Times New Roman"/>
          <w:szCs w:val="24"/>
          <w:lang w:val="es-ES_tradnl" w:eastAsia="es-ES"/>
        </w:rPr>
      </w:pPr>
      <w:r w:rsidRPr="00064242">
        <w:rPr>
          <w:rFonts w:eastAsia="Times New Roman" w:cs="Times New Roman"/>
          <w:szCs w:val="24"/>
          <w:lang w:val="es-ES_tradnl" w:eastAsia="es-ES"/>
        </w:rPr>
        <w:t>Las cuentas anuales del ejercicio anterior fueron aprobadas por la Junta</w:t>
      </w:r>
      <w:r w:rsidR="00064242" w:rsidRPr="00064242">
        <w:rPr>
          <w:rFonts w:eastAsia="Times New Roman" w:cs="Times New Roman"/>
          <w:szCs w:val="24"/>
          <w:lang w:val="es-ES_tradnl" w:eastAsia="es-ES"/>
        </w:rPr>
        <w:t xml:space="preserve"> General Ordinaria, </w:t>
      </w:r>
      <w:r w:rsidR="00064242" w:rsidRPr="00BF3527">
        <w:rPr>
          <w:rFonts w:eastAsia="Times New Roman" w:cs="Times New Roman"/>
          <w:szCs w:val="24"/>
          <w:lang w:val="es-ES_tradnl" w:eastAsia="es-ES"/>
        </w:rPr>
        <w:t>con fecha 2</w:t>
      </w:r>
      <w:r w:rsidR="00BF3527" w:rsidRPr="00BF3527">
        <w:rPr>
          <w:rFonts w:eastAsia="Times New Roman" w:cs="Times New Roman"/>
          <w:szCs w:val="24"/>
          <w:lang w:val="es-ES_tradnl" w:eastAsia="es-ES"/>
        </w:rPr>
        <w:t>8</w:t>
      </w:r>
      <w:r w:rsidR="00B92FD0" w:rsidRPr="00BF3527">
        <w:rPr>
          <w:rFonts w:eastAsia="Times New Roman" w:cs="Times New Roman"/>
          <w:szCs w:val="24"/>
          <w:lang w:val="es-ES_tradnl" w:eastAsia="es-ES"/>
        </w:rPr>
        <w:t xml:space="preserve"> de m</w:t>
      </w:r>
      <w:r w:rsidR="00B92FD0" w:rsidRPr="00B92FD0">
        <w:rPr>
          <w:rFonts w:eastAsia="Times New Roman" w:cs="Times New Roman"/>
          <w:szCs w:val="24"/>
          <w:lang w:val="es-ES_tradnl" w:eastAsia="es-ES"/>
        </w:rPr>
        <w:t>ayo</w:t>
      </w:r>
      <w:r w:rsidR="00704DB1">
        <w:rPr>
          <w:rFonts w:eastAsia="Times New Roman" w:cs="Times New Roman"/>
          <w:szCs w:val="24"/>
          <w:lang w:val="es-ES_tradnl" w:eastAsia="es-ES"/>
        </w:rPr>
        <w:t xml:space="preserve"> de 2020</w:t>
      </w:r>
      <w:r w:rsidRPr="00B92FD0">
        <w:rPr>
          <w:rFonts w:eastAsia="Times New Roman" w:cs="Times New Roman"/>
          <w:szCs w:val="24"/>
          <w:lang w:val="es-ES_tradnl" w:eastAsia="es-ES"/>
        </w:rPr>
        <w:t>.</w:t>
      </w:r>
    </w:p>
    <w:p w14:paraId="0FEEE0D1"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5A335909"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t>Principios contables no obligatorios aplicados</w:t>
      </w:r>
    </w:p>
    <w:p w14:paraId="7EEBA76D"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3182F5C9"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No se han aplicado principios contables no obligatorios. Adicionalmente, el Administrador Único ha formulado estas cuentas anuales teniendo en consideración la totalidad de los principios y normas contables de aplicación obligatoria que tienen un efecto significativo en dichas cuentas anuales. No existe ningún principio contable que siendo obligatorio, haya dejado de aplicarse.</w:t>
      </w:r>
    </w:p>
    <w:p w14:paraId="081BFD29"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34CBB8E8"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t>Aspectos críticos de la valoración y estimación de la incertidumbre</w:t>
      </w:r>
    </w:p>
    <w:p w14:paraId="068159CD"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2B5EC5D2"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 xml:space="preserve">En la elaboración de las cuentas anuales adjuntas se han utilizado estimaciones realizadas por </w:t>
      </w:r>
      <w:smartTag w:uri="urn:schemas-microsoft-com:office:smarttags" w:element="PersonName">
        <w:smartTagPr>
          <w:attr w:name="ProductID" w:val="la Sociedad"/>
        </w:smartTagPr>
        <w:r w:rsidRPr="005272CC">
          <w:rPr>
            <w:rFonts w:eastAsia="Times New Roman" w:cs="Times New Roman"/>
            <w:szCs w:val="24"/>
            <w:lang w:val="es-ES_tradnl" w:eastAsia="es-ES"/>
          </w:rPr>
          <w:t>la Sociedad</w:t>
        </w:r>
      </w:smartTag>
      <w:r w:rsidRPr="005272CC">
        <w:rPr>
          <w:rFonts w:eastAsia="Times New Roman" w:cs="Times New Roman"/>
          <w:szCs w:val="24"/>
          <w:lang w:val="es-ES_tradnl" w:eastAsia="es-ES"/>
        </w:rPr>
        <w:t xml:space="preserve"> para valorar algunos activos, pasivos, ingresos, gastos y compromisos que figuran en ellas. Básicamente estas estimaciones se refieren al valor de mercado de algunos instrumentos financieros (Nota 5).</w:t>
      </w:r>
    </w:p>
    <w:p w14:paraId="6DD7D38A"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0BDB5590" w14:textId="242C687F"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A pesar de que estas estimaciones se han realizado en función de la mejor informac</w:t>
      </w:r>
      <w:r w:rsidR="00732724">
        <w:rPr>
          <w:rFonts w:eastAsia="Times New Roman" w:cs="Times New Roman"/>
          <w:szCs w:val="24"/>
          <w:lang w:val="es-ES_tradnl" w:eastAsia="es-ES"/>
        </w:rPr>
        <w:t>ión disponible al cierre del 2020</w:t>
      </w:r>
      <w:r w:rsidRPr="005272CC">
        <w:rPr>
          <w:rFonts w:eastAsia="Times New Roman" w:cs="Times New Roman"/>
          <w:szCs w:val="24"/>
          <w:lang w:val="es-ES_tradnl" w:eastAsia="es-ES"/>
        </w:rPr>
        <w:t>, pudiera ocurrir que como consecuencia de cambios externos o de la disposición de información adicional dichas estimaciones sean reevaluadas en ejercicios futuros y se modificaran de forma prospectiva.</w:t>
      </w:r>
    </w:p>
    <w:p w14:paraId="370E08D0" w14:textId="77777777" w:rsidR="005272CC" w:rsidRDefault="005272CC" w:rsidP="005272CC">
      <w:pPr>
        <w:spacing w:after="0" w:line="240" w:lineRule="auto"/>
        <w:ind w:left="567"/>
        <w:jc w:val="both"/>
        <w:rPr>
          <w:rFonts w:eastAsia="Times New Roman" w:cs="Times New Roman"/>
          <w:szCs w:val="24"/>
          <w:lang w:val="es-ES_tradnl" w:eastAsia="es-ES"/>
        </w:rPr>
      </w:pPr>
    </w:p>
    <w:p w14:paraId="3074DAD2" w14:textId="77777777" w:rsidR="00C50A54" w:rsidRPr="005272CC" w:rsidRDefault="00C50A54" w:rsidP="005272CC">
      <w:pPr>
        <w:spacing w:after="0" w:line="240" w:lineRule="auto"/>
        <w:ind w:left="567"/>
        <w:jc w:val="both"/>
        <w:rPr>
          <w:rFonts w:eastAsia="Times New Roman" w:cs="Times New Roman"/>
          <w:szCs w:val="24"/>
          <w:lang w:val="es-ES_tradnl" w:eastAsia="es-ES"/>
        </w:rPr>
      </w:pPr>
    </w:p>
    <w:p w14:paraId="0DFB7A2A" w14:textId="77777777" w:rsidR="005272CC" w:rsidRPr="00454040"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454040">
        <w:rPr>
          <w:rFonts w:eastAsia="Times New Roman" w:cs="Times New Roman"/>
          <w:b/>
          <w:bCs/>
          <w:szCs w:val="24"/>
          <w:lang w:val="es-ES_tradnl" w:eastAsia="es-ES"/>
        </w:rPr>
        <w:t>Comparación de la información</w:t>
      </w:r>
    </w:p>
    <w:p w14:paraId="038A68DD"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6FE5A453" w14:textId="3F6C5FDC" w:rsidR="00BD7039" w:rsidRDefault="00FE5804" w:rsidP="00BD7039">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Las cifras de las presentes cuentas anuales correspondientes al ejercicio ter</w:t>
      </w:r>
      <w:r w:rsidR="00732724">
        <w:rPr>
          <w:rFonts w:eastAsia="Times New Roman" w:cs="Times New Roman"/>
          <w:szCs w:val="24"/>
          <w:lang w:val="es-ES_tradnl" w:eastAsia="es-ES"/>
        </w:rPr>
        <w:t xml:space="preserve">minado el 31 de diciembre de 2020 </w:t>
      </w:r>
      <w:r w:rsidRPr="00BD7039">
        <w:rPr>
          <w:rFonts w:eastAsia="Times New Roman" w:cs="Times New Roman"/>
          <w:szCs w:val="24"/>
          <w:lang w:val="es-ES_tradnl" w:eastAsia="es-ES"/>
        </w:rPr>
        <w:t xml:space="preserve">son totalmente comparables </w:t>
      </w:r>
      <w:r w:rsidR="00BD7039">
        <w:rPr>
          <w:rFonts w:eastAsia="Times New Roman" w:cs="Times New Roman"/>
          <w:szCs w:val="24"/>
          <w:lang w:val="es-ES_tradnl" w:eastAsia="es-ES"/>
        </w:rPr>
        <w:t>con las del ejercicio anterior</w:t>
      </w:r>
      <w:r w:rsidR="00BD7039" w:rsidRPr="00BD7039">
        <w:rPr>
          <w:rFonts w:eastAsia="Times New Roman" w:cs="Times New Roman"/>
          <w:szCs w:val="24"/>
          <w:lang w:val="es-ES_tradnl" w:eastAsia="es-ES"/>
        </w:rPr>
        <w:t>, no habiendo resulta</w:t>
      </w:r>
      <w:r w:rsidR="00BD7039" w:rsidRPr="005272CC">
        <w:rPr>
          <w:rFonts w:eastAsia="Times New Roman" w:cs="Times New Roman"/>
          <w:szCs w:val="24"/>
          <w:lang w:val="es-ES_tradnl" w:eastAsia="es-ES"/>
        </w:rPr>
        <w:t>do necesario realizar la adaptación de las cifras del ejercicio precedente.</w:t>
      </w:r>
    </w:p>
    <w:p w14:paraId="57DDED47" w14:textId="77777777" w:rsidR="00F308DC" w:rsidRDefault="00F308DC" w:rsidP="00BD7039">
      <w:pPr>
        <w:spacing w:after="0" w:line="240" w:lineRule="auto"/>
        <w:ind w:left="567"/>
        <w:jc w:val="both"/>
        <w:rPr>
          <w:rFonts w:eastAsia="Times New Roman" w:cs="Times New Roman"/>
          <w:szCs w:val="24"/>
          <w:lang w:val="es-ES_tradnl" w:eastAsia="es-ES"/>
        </w:rPr>
      </w:pPr>
      <w:r>
        <w:rPr>
          <w:color w:val="1F497D"/>
        </w:rPr>
        <w:t> </w:t>
      </w:r>
    </w:p>
    <w:p w14:paraId="77E490A2"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lastRenderedPageBreak/>
        <w:t>Agrupación de partidas</w:t>
      </w:r>
    </w:p>
    <w:p w14:paraId="168DA0DF"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526154F7" w14:textId="77777777" w:rsidR="005272CC" w:rsidRP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 xml:space="preserve">A efectos de facilitar la compresión del Balance, de </w:t>
      </w:r>
      <w:smartTag w:uri="urn:schemas-microsoft-com:office:smarttags" w:element="PersonName">
        <w:smartTagPr>
          <w:attr w:name="ProductID" w:val="la Cuenta"/>
        </w:smartTagPr>
        <w:r w:rsidRPr="005272CC">
          <w:rPr>
            <w:rFonts w:eastAsia="Times New Roman" w:cs="Times New Roman"/>
            <w:szCs w:val="24"/>
            <w:lang w:val="es-ES_tradnl" w:eastAsia="es-ES"/>
          </w:rPr>
          <w:t>la Cuenta</w:t>
        </w:r>
      </w:smartTag>
      <w:r w:rsidRPr="005272CC">
        <w:rPr>
          <w:rFonts w:eastAsia="Times New Roman" w:cs="Times New Roman"/>
          <w:szCs w:val="24"/>
          <w:lang w:val="es-ES_tradnl" w:eastAsia="es-ES"/>
        </w:rPr>
        <w:t xml:space="preserve"> de Pérdidas y Ganancias, del Estado de Cambios en el Patrimonio Neto y del Estado de Flujos de Efectivo, ciertos epígrafes se presentan de forma agrupada, presentándose los análisis requeridos en las notas correspondientes de la presente memoria.</w:t>
      </w:r>
    </w:p>
    <w:p w14:paraId="7B056C48"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1A17FD38" w14:textId="77777777" w:rsidR="005272CC" w:rsidRPr="005272CC" w:rsidRDefault="005272CC" w:rsidP="005272CC">
      <w:pPr>
        <w:keepNext/>
        <w:numPr>
          <w:ilvl w:val="0"/>
          <w:numId w:val="3"/>
        </w:numPr>
        <w:tabs>
          <w:tab w:val="num" w:pos="993"/>
        </w:tabs>
        <w:spacing w:after="0" w:line="240" w:lineRule="auto"/>
        <w:ind w:right="-63" w:hanging="513"/>
        <w:outlineLvl w:val="4"/>
        <w:rPr>
          <w:rFonts w:eastAsia="Times New Roman" w:cs="Times New Roman"/>
          <w:b/>
          <w:bCs/>
          <w:szCs w:val="24"/>
          <w:lang w:val="es-ES_tradnl" w:eastAsia="es-ES"/>
        </w:rPr>
      </w:pPr>
      <w:r w:rsidRPr="005272CC">
        <w:rPr>
          <w:rFonts w:eastAsia="Times New Roman" w:cs="Times New Roman"/>
          <w:b/>
          <w:bCs/>
          <w:szCs w:val="24"/>
          <w:lang w:val="es-ES_tradnl" w:eastAsia="es-ES"/>
        </w:rPr>
        <w:t>Elementos recogidos en varias partidas</w:t>
      </w:r>
    </w:p>
    <w:p w14:paraId="255A18F3"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0C7BE052" w14:textId="77777777" w:rsidR="005272CC" w:rsidRDefault="005272CC" w:rsidP="005272CC">
      <w:pPr>
        <w:spacing w:after="0" w:line="240" w:lineRule="auto"/>
        <w:ind w:left="567"/>
        <w:jc w:val="both"/>
        <w:rPr>
          <w:rFonts w:eastAsia="Times New Roman" w:cs="Times New Roman"/>
          <w:szCs w:val="24"/>
          <w:lang w:val="es-ES_tradnl" w:eastAsia="es-ES"/>
        </w:rPr>
      </w:pPr>
      <w:r w:rsidRPr="005272CC">
        <w:rPr>
          <w:rFonts w:eastAsia="Times New Roman" w:cs="Times New Roman"/>
          <w:szCs w:val="24"/>
          <w:lang w:val="es-ES_tradnl" w:eastAsia="es-ES"/>
        </w:rPr>
        <w:t>No hay elementos patrimoniales que estén registrados en dos o más partidas del balance.</w:t>
      </w:r>
    </w:p>
    <w:p w14:paraId="07596C8E" w14:textId="77777777" w:rsidR="0078614D" w:rsidRPr="0078614D" w:rsidRDefault="0078614D" w:rsidP="0078614D">
      <w:pPr>
        <w:keepNext/>
        <w:spacing w:after="0" w:line="240" w:lineRule="auto"/>
        <w:ind w:left="1080" w:right="-63"/>
        <w:outlineLvl w:val="4"/>
        <w:rPr>
          <w:rFonts w:eastAsia="Times New Roman" w:cs="Times New Roman"/>
          <w:b/>
          <w:bCs/>
          <w:szCs w:val="24"/>
          <w:lang w:val="es-ES_tradnl" w:eastAsia="es-ES"/>
        </w:rPr>
      </w:pPr>
    </w:p>
    <w:p w14:paraId="0CA630FF" w14:textId="77777777" w:rsidR="005272CC" w:rsidRPr="005272CC" w:rsidRDefault="005272CC" w:rsidP="005272CC">
      <w:pPr>
        <w:spacing w:after="0" w:line="240" w:lineRule="auto"/>
        <w:ind w:left="567"/>
        <w:jc w:val="both"/>
        <w:rPr>
          <w:rFonts w:eastAsia="Times New Roman" w:cs="Times New Roman"/>
          <w:szCs w:val="24"/>
          <w:lang w:val="es-ES_tradnl" w:eastAsia="es-ES"/>
        </w:rPr>
      </w:pPr>
    </w:p>
    <w:p w14:paraId="5EB25CF5" w14:textId="77777777" w:rsidR="005272CC" w:rsidRPr="005272CC" w:rsidRDefault="005272CC" w:rsidP="005272CC">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5272CC">
        <w:rPr>
          <w:rFonts w:eastAsia="Batang" w:cs="Times New Roman"/>
          <w:b/>
          <w:bCs/>
          <w:szCs w:val="24"/>
          <w:u w:val="single"/>
          <w:lang w:val="es-ES_tradnl" w:eastAsia="es-ES"/>
        </w:rPr>
        <w:t>DISTRIBUCIÓN DE RESULTADOS</w:t>
      </w:r>
    </w:p>
    <w:p w14:paraId="7BA5174A" w14:textId="77777777" w:rsidR="005272CC" w:rsidRPr="005272CC" w:rsidRDefault="005272CC" w:rsidP="005272CC">
      <w:pPr>
        <w:overflowPunct w:val="0"/>
        <w:autoSpaceDE w:val="0"/>
        <w:autoSpaceDN w:val="0"/>
        <w:adjustRightInd w:val="0"/>
        <w:spacing w:after="0" w:line="240" w:lineRule="auto"/>
        <w:ind w:right="1025"/>
        <w:textAlignment w:val="baseline"/>
        <w:outlineLvl w:val="0"/>
        <w:rPr>
          <w:rFonts w:eastAsia="Batang" w:cs="Times New Roman"/>
          <w:b/>
          <w:bCs/>
          <w:szCs w:val="24"/>
          <w:u w:val="single"/>
          <w:lang w:val="es-ES_tradnl" w:eastAsia="es-ES"/>
        </w:rPr>
      </w:pPr>
    </w:p>
    <w:p w14:paraId="077B6E7E" w14:textId="56ECDEE8"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5272CC">
        <w:rPr>
          <w:rFonts w:eastAsia="Batang" w:cs="Times New Roman"/>
          <w:szCs w:val="24"/>
          <w:lang w:val="es-ES_tradnl" w:eastAsia="es-ES"/>
        </w:rPr>
        <w:t>El Representante Persona Física del Administrador Único de la Sociedad propondrá a la Junta General de Accionistas la siguiente aplicación</w:t>
      </w:r>
      <w:r w:rsidR="00732724">
        <w:rPr>
          <w:rFonts w:eastAsia="Batang" w:cs="Times New Roman"/>
          <w:szCs w:val="24"/>
          <w:lang w:val="es-ES_tradnl" w:eastAsia="es-ES"/>
        </w:rPr>
        <w:t xml:space="preserve"> del resultado del ejercicio 2020</w:t>
      </w:r>
      <w:r w:rsidRPr="005272CC">
        <w:rPr>
          <w:rFonts w:eastAsia="Batang" w:cs="Times New Roman"/>
          <w:szCs w:val="24"/>
          <w:lang w:val="es-ES_tradnl" w:eastAsia="es-ES"/>
        </w:rPr>
        <w:t>:</w:t>
      </w:r>
    </w:p>
    <w:p w14:paraId="254A8DF3" w14:textId="77777777" w:rsidR="005272CC" w:rsidRPr="005272CC" w:rsidRDefault="005272CC" w:rsidP="005272C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6663" w:type="dxa"/>
        <w:jc w:val="center"/>
        <w:tblCellMar>
          <w:left w:w="70" w:type="dxa"/>
          <w:right w:w="70" w:type="dxa"/>
        </w:tblCellMar>
        <w:tblLook w:val="04A0" w:firstRow="1" w:lastRow="0" w:firstColumn="1" w:lastColumn="0" w:noHBand="0" w:noVBand="1"/>
      </w:tblPr>
      <w:tblGrid>
        <w:gridCol w:w="4500"/>
        <w:gridCol w:w="2163"/>
      </w:tblGrid>
      <w:tr w:rsidR="003E1D63" w:rsidRPr="00A2039F" w14:paraId="354CD0A4" w14:textId="77777777" w:rsidTr="000D7BFF">
        <w:trPr>
          <w:trHeight w:val="330"/>
          <w:jc w:val="center"/>
        </w:trPr>
        <w:tc>
          <w:tcPr>
            <w:tcW w:w="4500" w:type="dxa"/>
            <w:tcBorders>
              <w:top w:val="nil"/>
              <w:left w:val="nil"/>
              <w:bottom w:val="nil"/>
              <w:right w:val="nil"/>
            </w:tcBorders>
            <w:shd w:val="clear" w:color="auto" w:fill="auto"/>
            <w:vAlign w:val="center"/>
            <w:hideMark/>
          </w:tcPr>
          <w:p w14:paraId="40C7840A" w14:textId="77777777" w:rsidR="003E1D63" w:rsidRPr="00A2039F" w:rsidRDefault="003E1D63" w:rsidP="00E92E0C">
            <w:pPr>
              <w:spacing w:after="0" w:line="240" w:lineRule="auto"/>
              <w:rPr>
                <w:rFonts w:ascii="Times New Roman" w:eastAsia="Times New Roman" w:hAnsi="Times New Roman" w:cs="Times New Roman"/>
                <w:szCs w:val="24"/>
                <w:lang w:eastAsia="es-ES"/>
              </w:rPr>
            </w:pPr>
          </w:p>
        </w:tc>
        <w:tc>
          <w:tcPr>
            <w:tcW w:w="21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214B26" w14:textId="77777777" w:rsidR="003E1D63" w:rsidRPr="00A2039F" w:rsidRDefault="003E1D63" w:rsidP="00E92E0C">
            <w:pPr>
              <w:spacing w:after="0" w:line="240" w:lineRule="auto"/>
              <w:jc w:val="center"/>
              <w:rPr>
                <w:rFonts w:eastAsia="Times New Roman" w:cs="Arial"/>
                <w:szCs w:val="24"/>
                <w:lang w:eastAsia="es-ES"/>
              </w:rPr>
            </w:pPr>
            <w:r w:rsidRPr="00A2039F">
              <w:rPr>
                <w:rFonts w:eastAsia="Times New Roman" w:cs="Arial"/>
                <w:szCs w:val="24"/>
                <w:lang w:eastAsia="es-ES"/>
              </w:rPr>
              <w:t>Euros</w:t>
            </w:r>
          </w:p>
        </w:tc>
      </w:tr>
      <w:tr w:rsidR="003E1D63" w:rsidRPr="00A2039F" w14:paraId="28D6290C" w14:textId="77777777" w:rsidTr="000D7BFF">
        <w:trPr>
          <w:trHeight w:val="315"/>
          <w:jc w:val="center"/>
        </w:trPr>
        <w:tc>
          <w:tcPr>
            <w:tcW w:w="4500" w:type="dxa"/>
            <w:tcBorders>
              <w:top w:val="single" w:sz="8" w:space="0" w:color="auto"/>
              <w:left w:val="single" w:sz="8" w:space="0" w:color="auto"/>
              <w:bottom w:val="nil"/>
              <w:right w:val="single" w:sz="8" w:space="0" w:color="auto"/>
            </w:tcBorders>
            <w:shd w:val="clear" w:color="auto" w:fill="auto"/>
            <w:vAlign w:val="center"/>
            <w:hideMark/>
          </w:tcPr>
          <w:p w14:paraId="5EECE344" w14:textId="77777777" w:rsidR="003E1D63" w:rsidRPr="00A2039F" w:rsidRDefault="003E1D63" w:rsidP="00E92E0C">
            <w:pPr>
              <w:spacing w:after="0" w:line="240" w:lineRule="auto"/>
              <w:rPr>
                <w:rFonts w:eastAsia="Times New Roman" w:cs="Arial"/>
                <w:szCs w:val="24"/>
                <w:lang w:eastAsia="es-ES"/>
              </w:rPr>
            </w:pPr>
            <w:r w:rsidRPr="00A2039F">
              <w:rPr>
                <w:rFonts w:eastAsia="Times New Roman" w:cs="Arial"/>
                <w:szCs w:val="24"/>
                <w:lang w:eastAsia="es-ES"/>
              </w:rPr>
              <w:t>Base de reparto:</w:t>
            </w:r>
          </w:p>
        </w:tc>
        <w:tc>
          <w:tcPr>
            <w:tcW w:w="2163" w:type="dxa"/>
            <w:tcBorders>
              <w:top w:val="nil"/>
              <w:left w:val="nil"/>
              <w:bottom w:val="nil"/>
              <w:right w:val="single" w:sz="8" w:space="0" w:color="auto"/>
            </w:tcBorders>
            <w:shd w:val="clear" w:color="auto" w:fill="auto"/>
            <w:vAlign w:val="center"/>
            <w:hideMark/>
          </w:tcPr>
          <w:p w14:paraId="40D790AE" w14:textId="77777777" w:rsidR="003E1D63" w:rsidRPr="00A2039F" w:rsidRDefault="003E1D63" w:rsidP="00E92E0C">
            <w:pPr>
              <w:spacing w:after="0" w:line="240" w:lineRule="auto"/>
              <w:jc w:val="right"/>
              <w:rPr>
                <w:rFonts w:eastAsia="Times New Roman" w:cs="Arial"/>
                <w:szCs w:val="24"/>
                <w:lang w:eastAsia="es-ES"/>
              </w:rPr>
            </w:pPr>
            <w:r w:rsidRPr="00A2039F">
              <w:rPr>
                <w:rFonts w:eastAsia="Times New Roman" w:cs="Arial"/>
                <w:szCs w:val="24"/>
                <w:lang w:eastAsia="es-ES"/>
              </w:rPr>
              <w:t> </w:t>
            </w:r>
          </w:p>
        </w:tc>
      </w:tr>
      <w:tr w:rsidR="003E1D63" w:rsidRPr="00A2039F" w14:paraId="7F2DEEB6" w14:textId="77777777" w:rsidTr="000D7BFF">
        <w:trPr>
          <w:trHeight w:val="330"/>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3AF16FED" w14:textId="77777777" w:rsidR="003E1D63" w:rsidRPr="00A2039F" w:rsidRDefault="003E1D63" w:rsidP="00E92E0C">
            <w:pPr>
              <w:spacing w:after="0" w:line="240" w:lineRule="auto"/>
              <w:rPr>
                <w:rFonts w:eastAsia="Times New Roman" w:cs="Arial"/>
                <w:szCs w:val="24"/>
                <w:lang w:eastAsia="es-ES"/>
              </w:rPr>
            </w:pPr>
            <w:r w:rsidRPr="00A2039F">
              <w:rPr>
                <w:rFonts w:eastAsia="Times New Roman" w:cs="Arial"/>
                <w:szCs w:val="24"/>
                <w:lang w:eastAsia="es-ES"/>
              </w:rPr>
              <w:t>Pérdidas y ganancias</w:t>
            </w:r>
          </w:p>
        </w:tc>
        <w:tc>
          <w:tcPr>
            <w:tcW w:w="2163" w:type="dxa"/>
            <w:tcBorders>
              <w:top w:val="nil"/>
              <w:left w:val="nil"/>
              <w:bottom w:val="single" w:sz="8" w:space="0" w:color="auto"/>
              <w:right w:val="single" w:sz="8" w:space="0" w:color="auto"/>
            </w:tcBorders>
            <w:shd w:val="clear" w:color="auto" w:fill="auto"/>
            <w:vAlign w:val="center"/>
            <w:hideMark/>
          </w:tcPr>
          <w:p w14:paraId="5B5FA446" w14:textId="77777777" w:rsidR="003E1D63" w:rsidRPr="00A2039F" w:rsidRDefault="003E1D63" w:rsidP="000D7BFF">
            <w:pPr>
              <w:spacing w:after="0" w:line="240" w:lineRule="auto"/>
              <w:jc w:val="right"/>
              <w:rPr>
                <w:rFonts w:eastAsia="Times New Roman" w:cs="Arial"/>
                <w:szCs w:val="24"/>
                <w:lang w:eastAsia="es-ES"/>
              </w:rPr>
            </w:pPr>
            <w:r w:rsidRPr="00A2039F">
              <w:rPr>
                <w:rFonts w:eastAsia="Times New Roman" w:cs="Arial"/>
                <w:szCs w:val="24"/>
                <w:lang w:eastAsia="es-ES"/>
              </w:rPr>
              <w:t>36.137.834,67</w:t>
            </w:r>
          </w:p>
        </w:tc>
      </w:tr>
      <w:tr w:rsidR="003E1D63" w:rsidRPr="00A2039F" w14:paraId="6F762546" w14:textId="77777777" w:rsidTr="000D7BFF">
        <w:trPr>
          <w:trHeight w:val="330"/>
          <w:jc w:val="center"/>
        </w:trPr>
        <w:tc>
          <w:tcPr>
            <w:tcW w:w="4500" w:type="dxa"/>
            <w:tcBorders>
              <w:top w:val="nil"/>
              <w:left w:val="nil"/>
              <w:bottom w:val="single" w:sz="8" w:space="0" w:color="auto"/>
              <w:right w:val="nil"/>
            </w:tcBorders>
            <w:shd w:val="clear" w:color="auto" w:fill="auto"/>
            <w:vAlign w:val="center"/>
            <w:hideMark/>
          </w:tcPr>
          <w:p w14:paraId="202BC1CB" w14:textId="77777777" w:rsidR="003E1D63" w:rsidRPr="00A2039F" w:rsidRDefault="003E1D63" w:rsidP="00E92E0C">
            <w:pPr>
              <w:spacing w:after="0" w:line="240" w:lineRule="auto"/>
              <w:rPr>
                <w:rFonts w:eastAsia="Times New Roman" w:cs="Arial"/>
                <w:szCs w:val="24"/>
                <w:lang w:eastAsia="es-ES"/>
              </w:rPr>
            </w:pPr>
            <w:r w:rsidRPr="00A2039F">
              <w:rPr>
                <w:rFonts w:eastAsia="Times New Roman" w:cs="Arial"/>
                <w:szCs w:val="24"/>
                <w:lang w:eastAsia="es-ES"/>
              </w:rPr>
              <w:t> </w:t>
            </w:r>
          </w:p>
        </w:tc>
        <w:tc>
          <w:tcPr>
            <w:tcW w:w="2163" w:type="dxa"/>
            <w:tcBorders>
              <w:top w:val="nil"/>
              <w:left w:val="nil"/>
              <w:bottom w:val="single" w:sz="8" w:space="0" w:color="auto"/>
              <w:right w:val="nil"/>
            </w:tcBorders>
            <w:shd w:val="clear" w:color="auto" w:fill="auto"/>
            <w:vAlign w:val="center"/>
            <w:hideMark/>
          </w:tcPr>
          <w:p w14:paraId="49B63E05" w14:textId="77777777" w:rsidR="003E1D63" w:rsidRPr="00A2039F" w:rsidRDefault="003E1D63" w:rsidP="00E92E0C">
            <w:pPr>
              <w:spacing w:after="0" w:line="240" w:lineRule="auto"/>
              <w:jc w:val="center"/>
              <w:rPr>
                <w:rFonts w:eastAsia="Times New Roman" w:cs="Arial"/>
                <w:szCs w:val="24"/>
                <w:lang w:eastAsia="es-ES"/>
              </w:rPr>
            </w:pPr>
            <w:r w:rsidRPr="00A2039F">
              <w:rPr>
                <w:rFonts w:eastAsia="Times New Roman" w:cs="Arial"/>
                <w:szCs w:val="24"/>
                <w:lang w:eastAsia="es-ES"/>
              </w:rPr>
              <w:t> </w:t>
            </w:r>
          </w:p>
        </w:tc>
      </w:tr>
      <w:tr w:rsidR="003E1D63" w:rsidRPr="00A2039F" w14:paraId="3B0D78F6" w14:textId="77777777" w:rsidTr="000D7BFF">
        <w:trPr>
          <w:trHeight w:val="315"/>
          <w:jc w:val="center"/>
        </w:trPr>
        <w:tc>
          <w:tcPr>
            <w:tcW w:w="4500" w:type="dxa"/>
            <w:tcBorders>
              <w:top w:val="nil"/>
              <w:left w:val="single" w:sz="8" w:space="0" w:color="auto"/>
              <w:bottom w:val="nil"/>
              <w:right w:val="single" w:sz="8" w:space="0" w:color="auto"/>
            </w:tcBorders>
            <w:shd w:val="clear" w:color="auto" w:fill="auto"/>
            <w:vAlign w:val="center"/>
            <w:hideMark/>
          </w:tcPr>
          <w:p w14:paraId="2280D801" w14:textId="77777777" w:rsidR="003E1D63" w:rsidRPr="00A2039F" w:rsidRDefault="003E1D63" w:rsidP="00E92E0C">
            <w:pPr>
              <w:spacing w:after="0" w:line="240" w:lineRule="auto"/>
              <w:rPr>
                <w:rFonts w:eastAsia="Times New Roman" w:cs="Arial"/>
                <w:szCs w:val="24"/>
                <w:lang w:eastAsia="es-ES"/>
              </w:rPr>
            </w:pPr>
            <w:r w:rsidRPr="00A2039F">
              <w:rPr>
                <w:rFonts w:eastAsia="Times New Roman" w:cs="Arial"/>
                <w:szCs w:val="24"/>
                <w:lang w:eastAsia="es-ES"/>
              </w:rPr>
              <w:t xml:space="preserve">Dotación a Reserva Legal </w:t>
            </w:r>
          </w:p>
        </w:tc>
        <w:tc>
          <w:tcPr>
            <w:tcW w:w="2163" w:type="dxa"/>
            <w:tcBorders>
              <w:top w:val="nil"/>
              <w:left w:val="nil"/>
              <w:bottom w:val="nil"/>
              <w:right w:val="single" w:sz="8" w:space="0" w:color="auto"/>
            </w:tcBorders>
            <w:shd w:val="clear" w:color="auto" w:fill="auto"/>
            <w:vAlign w:val="center"/>
            <w:hideMark/>
          </w:tcPr>
          <w:p w14:paraId="43EB75A8" w14:textId="77777777" w:rsidR="003E1D63" w:rsidRPr="00A2039F" w:rsidRDefault="003E1D63" w:rsidP="000D7BFF">
            <w:pPr>
              <w:spacing w:after="0" w:line="240" w:lineRule="auto"/>
              <w:jc w:val="right"/>
              <w:rPr>
                <w:rFonts w:eastAsia="Times New Roman" w:cs="Arial"/>
                <w:szCs w:val="24"/>
                <w:lang w:eastAsia="es-ES"/>
              </w:rPr>
            </w:pPr>
            <w:r w:rsidRPr="00A2039F">
              <w:rPr>
                <w:rFonts w:eastAsia="Times New Roman" w:cs="Arial"/>
                <w:szCs w:val="24"/>
                <w:lang w:eastAsia="es-ES"/>
              </w:rPr>
              <w:t>2.924.201,84</w:t>
            </w:r>
          </w:p>
        </w:tc>
      </w:tr>
      <w:tr w:rsidR="003E1D63" w:rsidRPr="00A2039F" w14:paraId="7011C29A" w14:textId="77777777" w:rsidTr="000D7BFF">
        <w:trPr>
          <w:trHeight w:val="330"/>
          <w:jc w:val="center"/>
        </w:trPr>
        <w:tc>
          <w:tcPr>
            <w:tcW w:w="4500" w:type="dxa"/>
            <w:tcBorders>
              <w:top w:val="nil"/>
              <w:left w:val="single" w:sz="8" w:space="0" w:color="auto"/>
              <w:bottom w:val="single" w:sz="8" w:space="0" w:color="auto"/>
              <w:right w:val="single" w:sz="8" w:space="0" w:color="auto"/>
            </w:tcBorders>
            <w:shd w:val="clear" w:color="auto" w:fill="auto"/>
            <w:vAlign w:val="center"/>
            <w:hideMark/>
          </w:tcPr>
          <w:p w14:paraId="0EE6416C" w14:textId="77777777" w:rsidR="003E1D63" w:rsidRPr="00A2039F" w:rsidRDefault="003E1D63" w:rsidP="00E92E0C">
            <w:pPr>
              <w:spacing w:after="0" w:line="240" w:lineRule="auto"/>
              <w:rPr>
                <w:rFonts w:eastAsia="Times New Roman" w:cs="Arial"/>
                <w:szCs w:val="24"/>
                <w:lang w:eastAsia="es-ES"/>
              </w:rPr>
            </w:pPr>
            <w:r w:rsidRPr="00A2039F">
              <w:rPr>
                <w:rFonts w:eastAsia="Times New Roman" w:cs="Arial"/>
                <w:szCs w:val="24"/>
                <w:lang w:eastAsia="es-ES"/>
              </w:rPr>
              <w:t>Dividendos</w:t>
            </w:r>
          </w:p>
        </w:tc>
        <w:tc>
          <w:tcPr>
            <w:tcW w:w="2163" w:type="dxa"/>
            <w:tcBorders>
              <w:top w:val="nil"/>
              <w:left w:val="nil"/>
              <w:bottom w:val="single" w:sz="8" w:space="0" w:color="auto"/>
              <w:right w:val="single" w:sz="8" w:space="0" w:color="auto"/>
            </w:tcBorders>
            <w:shd w:val="clear" w:color="auto" w:fill="auto"/>
            <w:vAlign w:val="center"/>
            <w:hideMark/>
          </w:tcPr>
          <w:p w14:paraId="32688DB9" w14:textId="77777777" w:rsidR="003E1D63" w:rsidRPr="00A2039F" w:rsidRDefault="003E1D63" w:rsidP="000D7BFF">
            <w:pPr>
              <w:spacing w:after="0" w:line="240" w:lineRule="auto"/>
              <w:jc w:val="right"/>
              <w:rPr>
                <w:rFonts w:eastAsia="Times New Roman" w:cs="Arial"/>
                <w:szCs w:val="24"/>
                <w:lang w:eastAsia="es-ES"/>
              </w:rPr>
            </w:pPr>
            <w:r w:rsidRPr="00A2039F">
              <w:rPr>
                <w:rFonts w:eastAsia="Times New Roman" w:cs="Arial"/>
                <w:szCs w:val="24"/>
                <w:lang w:eastAsia="es-ES"/>
              </w:rPr>
              <w:t>33.213.632,83</w:t>
            </w:r>
          </w:p>
        </w:tc>
      </w:tr>
    </w:tbl>
    <w:p w14:paraId="38346344" w14:textId="4D1F1356" w:rsidR="005272CC" w:rsidRDefault="005272CC" w:rsidP="00956A42">
      <w:pPr>
        <w:spacing w:after="0" w:line="240" w:lineRule="auto"/>
        <w:jc w:val="center"/>
      </w:pPr>
    </w:p>
    <w:p w14:paraId="09E73B27" w14:textId="77777777" w:rsidR="00956A42" w:rsidRDefault="00956A42" w:rsidP="00BF49B9">
      <w:pPr>
        <w:spacing w:after="0" w:line="240" w:lineRule="auto"/>
      </w:pPr>
    </w:p>
    <w:p w14:paraId="06D5073C" w14:textId="77777777" w:rsidR="005272CC" w:rsidRPr="005037E0" w:rsidRDefault="005272CC" w:rsidP="005272CC">
      <w:pPr>
        <w:pStyle w:val="tn"/>
        <w:numPr>
          <w:ilvl w:val="0"/>
          <w:numId w:val="1"/>
        </w:numPr>
        <w:tabs>
          <w:tab w:val="num" w:pos="540"/>
        </w:tabs>
        <w:spacing w:before="0"/>
        <w:ind w:left="540" w:right="1025" w:hanging="540"/>
        <w:jc w:val="left"/>
        <w:outlineLvl w:val="0"/>
        <w:rPr>
          <w:rFonts w:ascii="Cambria" w:eastAsia="Batang" w:hAnsi="Cambria"/>
          <w:b/>
          <w:bCs/>
          <w:sz w:val="24"/>
          <w:szCs w:val="24"/>
          <w:u w:val="single"/>
        </w:rPr>
      </w:pPr>
      <w:r w:rsidRPr="005037E0">
        <w:rPr>
          <w:rFonts w:ascii="Cambria" w:eastAsia="Batang" w:hAnsi="Cambria"/>
          <w:b/>
          <w:bCs/>
          <w:sz w:val="24"/>
          <w:szCs w:val="24"/>
          <w:u w:val="single"/>
        </w:rPr>
        <w:t>N</w:t>
      </w:r>
      <w:r>
        <w:rPr>
          <w:rFonts w:ascii="Cambria" w:eastAsia="Batang" w:hAnsi="Cambria"/>
          <w:b/>
          <w:bCs/>
          <w:sz w:val="24"/>
          <w:szCs w:val="24"/>
          <w:u w:val="single"/>
        </w:rPr>
        <w:t>ORMAS DE REGISTRO Y VALORACIÓN</w:t>
      </w:r>
    </w:p>
    <w:p w14:paraId="358347E3" w14:textId="77777777" w:rsidR="005272CC" w:rsidRPr="00EA6621" w:rsidRDefault="005272CC" w:rsidP="005272CC">
      <w:pPr>
        <w:pStyle w:val="not"/>
        <w:spacing w:before="0"/>
        <w:ind w:left="567" w:firstLine="0"/>
        <w:rPr>
          <w:rFonts w:ascii="Cambria" w:eastAsia="Batang" w:hAnsi="Cambria"/>
          <w:sz w:val="24"/>
          <w:szCs w:val="24"/>
        </w:rPr>
      </w:pPr>
    </w:p>
    <w:p w14:paraId="0869A70F" w14:textId="4980E9C7" w:rsidR="005272CC" w:rsidRPr="005037E0" w:rsidRDefault="005272CC" w:rsidP="005272CC">
      <w:pPr>
        <w:pStyle w:val="not"/>
        <w:spacing w:before="0"/>
        <w:ind w:left="567" w:firstLine="0"/>
        <w:rPr>
          <w:rFonts w:ascii="Cambria" w:eastAsia="Batang" w:hAnsi="Cambria"/>
          <w:sz w:val="24"/>
          <w:szCs w:val="24"/>
        </w:rPr>
      </w:pPr>
      <w:r w:rsidRPr="005037E0">
        <w:rPr>
          <w:rFonts w:ascii="Cambria" w:eastAsia="Batang" w:hAnsi="Cambria"/>
          <w:sz w:val="24"/>
          <w:szCs w:val="24"/>
        </w:rPr>
        <w:t>Las principales normas de registro y valoración utilizadas por la Sociedad en la elaboración de las c</w:t>
      </w:r>
      <w:r w:rsidR="00D93E28">
        <w:rPr>
          <w:rFonts w:ascii="Cambria" w:eastAsia="Batang" w:hAnsi="Cambria"/>
          <w:sz w:val="24"/>
          <w:szCs w:val="24"/>
        </w:rPr>
        <w:t>uentas anuales del ejercicio 2020</w:t>
      </w:r>
      <w:r>
        <w:rPr>
          <w:rFonts w:ascii="Cambria" w:eastAsia="Batang" w:hAnsi="Cambria"/>
          <w:sz w:val="24"/>
          <w:szCs w:val="24"/>
        </w:rPr>
        <w:t>,</w:t>
      </w:r>
      <w:r w:rsidRPr="005037E0">
        <w:rPr>
          <w:rFonts w:ascii="Cambria" w:eastAsia="Batang" w:hAnsi="Cambria"/>
          <w:sz w:val="24"/>
          <w:szCs w:val="24"/>
        </w:rPr>
        <w:t xml:space="preserve"> de acuerdo con las establecidas por el Plan General de Contabilidad, han sido las siguientes: </w:t>
      </w:r>
    </w:p>
    <w:p w14:paraId="583AAAE3" w14:textId="77777777" w:rsidR="005272CC" w:rsidRPr="005037E0" w:rsidRDefault="005272CC" w:rsidP="005272CC">
      <w:pPr>
        <w:pStyle w:val="not"/>
        <w:spacing w:before="0"/>
        <w:ind w:left="567" w:firstLine="0"/>
        <w:rPr>
          <w:rFonts w:ascii="Cambria" w:eastAsia="Batang" w:hAnsi="Cambria"/>
          <w:sz w:val="24"/>
          <w:szCs w:val="24"/>
        </w:rPr>
      </w:pPr>
    </w:p>
    <w:p w14:paraId="5DBAA865" w14:textId="77777777" w:rsidR="005272CC" w:rsidRPr="00451DC2" w:rsidRDefault="005272CC" w:rsidP="005272CC">
      <w:pPr>
        <w:pStyle w:val="Ttulo5"/>
        <w:numPr>
          <w:ilvl w:val="0"/>
          <w:numId w:val="5"/>
        </w:numPr>
        <w:tabs>
          <w:tab w:val="clear" w:pos="1080"/>
        </w:tabs>
        <w:ind w:left="993" w:right="-63" w:hanging="426"/>
        <w:rPr>
          <w:rFonts w:ascii="Cambria" w:hAnsi="Cambria"/>
          <w:sz w:val="24"/>
          <w:u w:val="none"/>
          <w:lang w:val="es-ES_tradnl"/>
        </w:rPr>
      </w:pPr>
      <w:r w:rsidRPr="00451DC2">
        <w:rPr>
          <w:rFonts w:ascii="Cambria" w:hAnsi="Cambria"/>
          <w:sz w:val="24"/>
          <w:u w:val="none"/>
          <w:lang w:val="es-ES_tradnl"/>
        </w:rPr>
        <w:t>Instrumentos financieros</w:t>
      </w:r>
    </w:p>
    <w:p w14:paraId="5CDB140A" w14:textId="77777777" w:rsidR="005272CC" w:rsidRPr="00EA6621" w:rsidRDefault="005272CC" w:rsidP="005272CC">
      <w:pPr>
        <w:pStyle w:val="not"/>
        <w:spacing w:before="0"/>
        <w:ind w:left="567" w:firstLine="0"/>
        <w:rPr>
          <w:rFonts w:ascii="Cambria" w:eastAsia="Batang" w:hAnsi="Cambria"/>
          <w:sz w:val="24"/>
          <w:szCs w:val="24"/>
        </w:rPr>
      </w:pPr>
    </w:p>
    <w:p w14:paraId="5B9CAC4E" w14:textId="77777777" w:rsidR="005272CC"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 xml:space="preserve">Las inversiones financieras a largo plazo que posee </w:t>
      </w:r>
      <w:smartTag w:uri="urn:schemas-microsoft-com:office:smarttags" w:element="PersonName">
        <w:smartTagPr>
          <w:attr w:name="ProductID" w:val="la Sociedad"/>
        </w:smartTagPr>
        <w:r w:rsidRPr="00EA6621">
          <w:rPr>
            <w:rFonts w:ascii="Cambria" w:eastAsia="Batang" w:hAnsi="Cambria"/>
            <w:sz w:val="24"/>
            <w:szCs w:val="24"/>
          </w:rPr>
          <w:t>la Sociedad</w:t>
        </w:r>
      </w:smartTag>
      <w:r w:rsidRPr="00EA6621">
        <w:rPr>
          <w:rFonts w:ascii="Cambria" w:eastAsia="Batang" w:hAnsi="Cambria"/>
          <w:sz w:val="24"/>
          <w:szCs w:val="24"/>
        </w:rPr>
        <w:t>, son instrumentos de patrimonio y se encuentran clasificados dentro de la categoría de activos financieros disponibles para la venta.</w:t>
      </w:r>
    </w:p>
    <w:p w14:paraId="2A6496F9" w14:textId="77777777" w:rsidR="00C05B9D" w:rsidRDefault="00C05B9D" w:rsidP="005272CC">
      <w:pPr>
        <w:pStyle w:val="not"/>
        <w:spacing w:before="0"/>
        <w:ind w:left="567" w:firstLine="0"/>
        <w:rPr>
          <w:rFonts w:ascii="Cambria" w:eastAsia="Batang" w:hAnsi="Cambria"/>
          <w:sz w:val="24"/>
          <w:szCs w:val="24"/>
        </w:rPr>
      </w:pPr>
    </w:p>
    <w:p w14:paraId="248B2306" w14:textId="77777777" w:rsidR="005272CC" w:rsidRPr="00EA6621"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En su reconocimiento inicial en el balance, se registran por su valor razonable, que, salvo evidencia en contrario, es el precio de transacción, que equivale al valor razonable de la contraprestación entregada más los costes de transacción que les sean directamente atribuibles.</w:t>
      </w:r>
    </w:p>
    <w:p w14:paraId="08CB6C3C" w14:textId="77777777" w:rsidR="005272CC" w:rsidRPr="00EA6621" w:rsidRDefault="005272CC" w:rsidP="005272CC">
      <w:pPr>
        <w:pStyle w:val="not"/>
        <w:spacing w:before="0"/>
        <w:ind w:left="567" w:firstLine="0"/>
        <w:rPr>
          <w:rFonts w:ascii="Cambria" w:eastAsia="Batang" w:hAnsi="Cambria"/>
          <w:sz w:val="24"/>
          <w:szCs w:val="24"/>
        </w:rPr>
      </w:pPr>
    </w:p>
    <w:p w14:paraId="7F03DF1C" w14:textId="77777777" w:rsidR="00BD7039" w:rsidRDefault="005272CC" w:rsidP="00BD7039">
      <w:pPr>
        <w:pStyle w:val="not"/>
        <w:spacing w:before="0"/>
        <w:ind w:left="567" w:firstLine="0"/>
        <w:rPr>
          <w:rFonts w:ascii="Cambria" w:eastAsia="Batang" w:hAnsi="Cambria"/>
          <w:sz w:val="24"/>
          <w:szCs w:val="24"/>
        </w:rPr>
      </w:pPr>
      <w:r w:rsidRPr="00EA6621">
        <w:rPr>
          <w:rFonts w:ascii="Cambria" w:eastAsia="Batang" w:hAnsi="Cambria"/>
          <w:sz w:val="24"/>
          <w:szCs w:val="24"/>
        </w:rPr>
        <w:lastRenderedPageBreak/>
        <w:t>Tras su reconocimiento inicial, estos activos financieros se valoran por su valor razonable (siendo éste, para títulos cotizados en bolsa, el más bajo entre el valor de la cotización media del último trimestre o el del último día del ejercicio). Los cambios que se produzcan en el valor razonable se registrarán directamente en el patrimonio neto, hasta que el activo financiero cause baja del balance o se deteriore, momento en que el importe así reconocido se imputará a la cuenta de pérdidas y ganancias.</w:t>
      </w:r>
    </w:p>
    <w:p w14:paraId="5293208B" w14:textId="77777777" w:rsidR="00BD7039" w:rsidRDefault="00BD7039" w:rsidP="00BD7039">
      <w:pPr>
        <w:pStyle w:val="not"/>
        <w:spacing w:before="0"/>
        <w:ind w:left="567" w:firstLine="0"/>
        <w:rPr>
          <w:rFonts w:ascii="Cambria" w:eastAsia="Batang" w:hAnsi="Cambria"/>
          <w:sz w:val="24"/>
          <w:szCs w:val="24"/>
        </w:rPr>
      </w:pPr>
    </w:p>
    <w:p w14:paraId="71545992" w14:textId="77777777" w:rsidR="005272CC" w:rsidRPr="00EA6621" w:rsidRDefault="005272CC" w:rsidP="00BD7039">
      <w:pPr>
        <w:pStyle w:val="not"/>
        <w:spacing w:before="0"/>
        <w:ind w:left="567" w:firstLine="0"/>
        <w:rPr>
          <w:rFonts w:ascii="Cambria" w:eastAsia="Batang" w:hAnsi="Cambria"/>
          <w:sz w:val="24"/>
          <w:szCs w:val="24"/>
        </w:rPr>
      </w:pPr>
      <w:r w:rsidRPr="00EA6621">
        <w:rPr>
          <w:rFonts w:ascii="Cambria" w:eastAsia="Batang" w:hAnsi="Cambria"/>
          <w:sz w:val="24"/>
          <w:szCs w:val="24"/>
        </w:rPr>
        <w:t xml:space="preserve">Existe una evidencia objetiva de que estos instrumentos de patrimonio se han deteriorado cuando después de su reconocimiento inicial ocurre un evento o una combinación de ellos que suponga que no se va a poder recuperar su valor en libros debido a un descenso prolongado o significativo en su valor razonable. En este sentido, </w:t>
      </w:r>
      <w:smartTag w:uri="urn:schemas-microsoft-com:office:smarttags" w:element="PersonName">
        <w:smartTagPr>
          <w:attr w:name="ProductID" w:val="la Sociedad"/>
        </w:smartTagPr>
        <w:r w:rsidRPr="00EA6621">
          <w:rPr>
            <w:rFonts w:ascii="Cambria" w:eastAsia="Batang" w:hAnsi="Cambria"/>
            <w:sz w:val="24"/>
            <w:szCs w:val="24"/>
          </w:rPr>
          <w:t>la Sociedad</w:t>
        </w:r>
      </w:smartTag>
      <w:r w:rsidRPr="00EA6621">
        <w:rPr>
          <w:rFonts w:ascii="Cambria" w:eastAsia="Batang" w:hAnsi="Cambria"/>
          <w:sz w:val="24"/>
          <w:szCs w:val="24"/>
        </w:rPr>
        <w:t xml:space="preserve"> considera, en todo caso, que los instrumentos se han deteriorado ante una caída de un año y medio o de un 40% de su cotización, sin que se haya producido la recuperación de su valor.</w:t>
      </w:r>
    </w:p>
    <w:p w14:paraId="4BFD3784" w14:textId="77777777" w:rsidR="005272CC" w:rsidRPr="00EA6621" w:rsidRDefault="005272CC" w:rsidP="005272CC">
      <w:pPr>
        <w:pStyle w:val="not"/>
        <w:spacing w:before="0"/>
        <w:ind w:left="567" w:firstLine="0"/>
        <w:rPr>
          <w:rFonts w:ascii="Cambria" w:eastAsia="Batang" w:hAnsi="Cambria"/>
          <w:sz w:val="24"/>
          <w:szCs w:val="24"/>
        </w:rPr>
      </w:pPr>
    </w:p>
    <w:p w14:paraId="4C4797FF" w14:textId="77777777" w:rsidR="005272CC" w:rsidRPr="00EA6621"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La pérdida por deterioro se calcula como diferencia entre su coste de adquisición y su valor razonable menos las pérdidas por deterioro previamente reconocidas. Las minusvalías latentes reconocidas como “Ajustes por cambios de valor” en el patrimonio neto se registran inmediatamente en la cuenta de pérdidas y ganancias cuando se determina que el descenso del valor razonable se debe a su deterioro. Si, con posterioridad, se recuperan todas o parte de las pérdidas por deterioro, su importe se reconoce en “Ajustes por cambios de valor” en el patrimonio neto.</w:t>
      </w:r>
    </w:p>
    <w:p w14:paraId="719EF1B1" w14:textId="77777777" w:rsidR="00ED5BBB" w:rsidRDefault="00ED5BBB">
      <w:pPr>
        <w:rPr>
          <w:lang w:val="es-ES_tradnl"/>
        </w:rPr>
      </w:pPr>
    </w:p>
    <w:p w14:paraId="79AB0E41" w14:textId="77777777" w:rsidR="005272CC" w:rsidRPr="00E137F5" w:rsidRDefault="005272CC" w:rsidP="005272CC">
      <w:pPr>
        <w:pStyle w:val="Ttulo5"/>
        <w:numPr>
          <w:ilvl w:val="0"/>
          <w:numId w:val="5"/>
        </w:numPr>
        <w:tabs>
          <w:tab w:val="clear" w:pos="1080"/>
          <w:tab w:val="num" w:pos="993"/>
        </w:tabs>
        <w:ind w:left="993" w:right="-63" w:hanging="426"/>
        <w:rPr>
          <w:rFonts w:ascii="Cambria" w:hAnsi="Cambria"/>
          <w:sz w:val="24"/>
          <w:u w:val="none"/>
          <w:lang w:val="es-ES_tradnl"/>
        </w:rPr>
      </w:pPr>
      <w:r w:rsidRPr="00E137F5">
        <w:rPr>
          <w:rFonts w:ascii="Cambria" w:hAnsi="Cambria"/>
          <w:sz w:val="24"/>
          <w:u w:val="none"/>
          <w:lang w:val="es-ES_tradnl"/>
        </w:rPr>
        <w:t>Provisiones y contingencias</w:t>
      </w:r>
    </w:p>
    <w:p w14:paraId="324ED6AA" w14:textId="77777777" w:rsidR="005272CC" w:rsidRPr="00EA6621" w:rsidRDefault="005272CC" w:rsidP="005272CC">
      <w:pPr>
        <w:pStyle w:val="not"/>
        <w:spacing w:before="0"/>
        <w:ind w:left="567" w:firstLine="0"/>
        <w:rPr>
          <w:rFonts w:ascii="Cambria" w:eastAsia="Batang" w:hAnsi="Cambria"/>
          <w:sz w:val="24"/>
          <w:szCs w:val="24"/>
        </w:rPr>
      </w:pPr>
    </w:p>
    <w:p w14:paraId="158E05C3" w14:textId="77777777" w:rsidR="005272CC" w:rsidRPr="00EA6621"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 xml:space="preserve">La empresa reconoce como provisiones los saldos acreedores que cubren obligaciones actuales derivadas de sucesos pasados, cuya cancelación es probable que origine una salida de recursos, pero que resultan indeterminados en cuanto a su importe y/o momento de cancelación. </w:t>
      </w:r>
    </w:p>
    <w:p w14:paraId="047FC0B1" w14:textId="77777777" w:rsidR="005272CC" w:rsidRPr="005037E0" w:rsidRDefault="005272CC" w:rsidP="005272CC">
      <w:pPr>
        <w:pStyle w:val="not"/>
        <w:spacing w:before="0"/>
        <w:ind w:left="567" w:firstLine="0"/>
        <w:rPr>
          <w:rFonts w:ascii="Cambria" w:eastAsia="Batang" w:hAnsi="Cambria"/>
          <w:sz w:val="24"/>
          <w:szCs w:val="24"/>
        </w:rPr>
      </w:pPr>
    </w:p>
    <w:p w14:paraId="340FF847" w14:textId="77777777" w:rsidR="00BD7039"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 xml:space="preserve">Las cuentas anuales recogen todas las provisiones con respecto a las cuales se estima que la probabilidad de que se tenga que atender la obligación es mayor que de lo contrario. Los pasivos contingentes no se reconocen en las cuentas anuales, sino que se informa de los mismos en las notas de la memoria, en la medida en que no sean considerados como remotos. </w:t>
      </w:r>
    </w:p>
    <w:p w14:paraId="54465CD7" w14:textId="77777777" w:rsidR="00C05B9D" w:rsidRPr="005037E0" w:rsidRDefault="00C05B9D" w:rsidP="00ED5BBB">
      <w:pPr>
        <w:rPr>
          <w:rFonts w:eastAsia="Batang"/>
          <w:szCs w:val="24"/>
        </w:rPr>
      </w:pPr>
    </w:p>
    <w:p w14:paraId="46AF506E" w14:textId="77777777" w:rsidR="005272CC" w:rsidRPr="00E137F5" w:rsidRDefault="005272CC" w:rsidP="005272CC">
      <w:pPr>
        <w:pStyle w:val="Ttulo5"/>
        <w:numPr>
          <w:ilvl w:val="0"/>
          <w:numId w:val="5"/>
        </w:numPr>
        <w:tabs>
          <w:tab w:val="clear" w:pos="1080"/>
          <w:tab w:val="num" w:pos="993"/>
        </w:tabs>
        <w:ind w:left="993" w:right="-63" w:hanging="426"/>
        <w:rPr>
          <w:rFonts w:ascii="Cambria" w:hAnsi="Cambria"/>
          <w:sz w:val="24"/>
          <w:u w:val="none"/>
          <w:lang w:val="es-ES_tradnl"/>
        </w:rPr>
      </w:pPr>
      <w:r w:rsidRPr="00E137F5">
        <w:rPr>
          <w:rFonts w:ascii="Cambria" w:hAnsi="Cambria"/>
          <w:sz w:val="24"/>
          <w:u w:val="none"/>
          <w:lang w:val="es-ES_tradnl"/>
        </w:rPr>
        <w:t>Impuesto sobre Beneficios</w:t>
      </w:r>
    </w:p>
    <w:p w14:paraId="4EAD77C8" w14:textId="77777777" w:rsidR="005272CC" w:rsidRPr="00EA6621" w:rsidRDefault="005272CC" w:rsidP="005272CC">
      <w:pPr>
        <w:pStyle w:val="not"/>
        <w:spacing w:before="0"/>
        <w:ind w:left="567" w:firstLine="0"/>
        <w:rPr>
          <w:rFonts w:ascii="Cambria" w:eastAsia="Batang" w:hAnsi="Cambria"/>
          <w:sz w:val="24"/>
          <w:szCs w:val="24"/>
        </w:rPr>
      </w:pPr>
    </w:p>
    <w:p w14:paraId="6FD91C1B" w14:textId="77777777" w:rsidR="005272CC" w:rsidRPr="00EA6621"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El gasto por impuesto sobre beneficios del ejercicio se calcula mediante la suma del impuesto corriente, que resulta de aplicar el correspondiente tipo de gravamen a la base imponible del ejercicio menos las bonificaciones y deducciones existentes, y de las variaciones producidas durante dicho ejercicio en los activos y pasivos por impuestos diferidos registrados. Se reconoce en la cuenta de pérdidas y ganancias, excepto cuando corresponde a transacciones que se registran directamente en el patrimonio neto, en cuyo caso el impuesto correspondiente también se registra en el patrimonio neto.</w:t>
      </w:r>
    </w:p>
    <w:p w14:paraId="77181996" w14:textId="77777777" w:rsidR="005272CC" w:rsidRPr="00EA6621" w:rsidRDefault="005272CC" w:rsidP="005272CC">
      <w:pPr>
        <w:pStyle w:val="not"/>
        <w:spacing w:before="0"/>
        <w:ind w:left="567" w:firstLine="0"/>
        <w:rPr>
          <w:rFonts w:ascii="Cambria" w:eastAsia="Batang" w:hAnsi="Cambria"/>
          <w:sz w:val="24"/>
          <w:szCs w:val="24"/>
        </w:rPr>
      </w:pPr>
    </w:p>
    <w:p w14:paraId="729A9157" w14:textId="77777777" w:rsidR="00160E8F" w:rsidRPr="00083082" w:rsidRDefault="00160E8F" w:rsidP="00160E8F">
      <w:pPr>
        <w:pStyle w:val="not"/>
        <w:spacing w:before="0"/>
        <w:ind w:left="567" w:firstLine="0"/>
        <w:rPr>
          <w:rFonts w:ascii="Cambria" w:eastAsia="Batang" w:hAnsi="Cambria"/>
          <w:sz w:val="24"/>
          <w:szCs w:val="24"/>
        </w:rPr>
      </w:pPr>
      <w:r w:rsidRPr="00083082">
        <w:rPr>
          <w:rFonts w:ascii="Cambria" w:eastAsia="Batang" w:hAnsi="Cambria"/>
          <w:sz w:val="24"/>
          <w:szCs w:val="24"/>
        </w:rPr>
        <w:t xml:space="preserve">En base al artículo 21.1 de la Ley 27/2014, de 27 de noviembre, del Impuesto sobre Sociedades, los dividendos obtenidos como consecuencia de la participación en entidades en las que se cumplan los requisitos previstos, quedarán exentas de tributación. </w:t>
      </w:r>
    </w:p>
    <w:p w14:paraId="2EC6AE91" w14:textId="77777777" w:rsidR="008B7975" w:rsidRDefault="008B7975" w:rsidP="005272CC">
      <w:pPr>
        <w:pStyle w:val="not"/>
        <w:spacing w:before="0"/>
        <w:ind w:left="567" w:firstLine="0"/>
        <w:rPr>
          <w:rFonts w:ascii="Cambria" w:eastAsia="Batang" w:hAnsi="Cambria"/>
          <w:sz w:val="24"/>
          <w:szCs w:val="24"/>
        </w:rPr>
      </w:pPr>
    </w:p>
    <w:p w14:paraId="1723C32D" w14:textId="4C6F9D6F" w:rsidR="005272CC"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La Sociedad forma parte del Grupo consolidado fiscal cuya cabecera es SEPI. Debido a ello el importe a cobrar referente al Impuesto sobre Sociedades se pr</w:t>
      </w:r>
      <w:r w:rsidR="00D900DB">
        <w:rPr>
          <w:rFonts w:ascii="Cambria" w:eastAsia="Batang" w:hAnsi="Cambria"/>
          <w:sz w:val="24"/>
          <w:szCs w:val="24"/>
        </w:rPr>
        <w:t>esenta al 31 de diciembre de 2020</w:t>
      </w:r>
      <w:r w:rsidRPr="00EA6621">
        <w:rPr>
          <w:rFonts w:ascii="Cambria" w:eastAsia="Batang" w:hAnsi="Cambria"/>
          <w:sz w:val="24"/>
          <w:szCs w:val="24"/>
        </w:rPr>
        <w:t xml:space="preserve"> clasificado dentro del epígrafe de saldos con empresas del Grupo.</w:t>
      </w:r>
    </w:p>
    <w:p w14:paraId="5203484C" w14:textId="77777777" w:rsidR="00BD7039" w:rsidRDefault="00BD7039" w:rsidP="005272CC">
      <w:pPr>
        <w:pStyle w:val="not"/>
        <w:spacing w:before="0"/>
        <w:ind w:left="567" w:firstLine="0"/>
        <w:rPr>
          <w:rFonts w:ascii="Cambria" w:eastAsia="Batang" w:hAnsi="Cambria"/>
          <w:sz w:val="24"/>
          <w:szCs w:val="24"/>
        </w:rPr>
      </w:pPr>
    </w:p>
    <w:p w14:paraId="62F9793A" w14:textId="77777777" w:rsidR="00BD7039" w:rsidRPr="00EA6621" w:rsidRDefault="00BD7039" w:rsidP="005272CC">
      <w:pPr>
        <w:pStyle w:val="not"/>
        <w:spacing w:before="0"/>
        <w:ind w:left="567" w:firstLine="0"/>
        <w:rPr>
          <w:rFonts w:ascii="Cambria" w:eastAsia="Batang" w:hAnsi="Cambria"/>
          <w:sz w:val="24"/>
          <w:szCs w:val="24"/>
        </w:rPr>
      </w:pPr>
    </w:p>
    <w:p w14:paraId="17AC9C4F" w14:textId="77777777" w:rsidR="005272CC" w:rsidRPr="00E137F5" w:rsidRDefault="005272CC" w:rsidP="00BD7039">
      <w:pPr>
        <w:pStyle w:val="Ttulo5"/>
        <w:numPr>
          <w:ilvl w:val="0"/>
          <w:numId w:val="5"/>
        </w:numPr>
        <w:tabs>
          <w:tab w:val="clear" w:pos="1080"/>
          <w:tab w:val="num" w:pos="993"/>
        </w:tabs>
        <w:ind w:left="993" w:right="-63" w:hanging="426"/>
        <w:rPr>
          <w:rFonts w:ascii="Cambria" w:hAnsi="Cambria"/>
          <w:sz w:val="24"/>
          <w:u w:val="none"/>
          <w:lang w:val="es-ES_tradnl"/>
        </w:rPr>
      </w:pPr>
      <w:r w:rsidRPr="00E137F5">
        <w:rPr>
          <w:rFonts w:ascii="Cambria" w:hAnsi="Cambria"/>
          <w:sz w:val="24"/>
          <w:u w:val="none"/>
          <w:lang w:val="es-ES_tradnl"/>
        </w:rPr>
        <w:t>Ingresos y Gastos</w:t>
      </w:r>
    </w:p>
    <w:p w14:paraId="53F54E4D" w14:textId="77777777" w:rsidR="005272CC" w:rsidRPr="00EA6621" w:rsidRDefault="005272CC" w:rsidP="00F25F25">
      <w:pPr>
        <w:pStyle w:val="not"/>
        <w:spacing w:before="0"/>
        <w:ind w:left="567" w:firstLine="0"/>
        <w:rPr>
          <w:rFonts w:ascii="Cambria" w:eastAsia="Batang" w:hAnsi="Cambria"/>
          <w:sz w:val="24"/>
          <w:szCs w:val="24"/>
        </w:rPr>
      </w:pPr>
    </w:p>
    <w:p w14:paraId="04C9C461" w14:textId="77777777" w:rsidR="005272CC" w:rsidRPr="00EA6621" w:rsidRDefault="005272CC" w:rsidP="00F25F25">
      <w:pPr>
        <w:pStyle w:val="not"/>
        <w:spacing w:before="0"/>
        <w:ind w:left="567" w:firstLine="0"/>
        <w:rPr>
          <w:rFonts w:ascii="Cambria" w:eastAsia="Batang" w:hAnsi="Cambria"/>
          <w:sz w:val="24"/>
          <w:szCs w:val="24"/>
        </w:rPr>
      </w:pPr>
      <w:r w:rsidRPr="00EA6621">
        <w:rPr>
          <w:rFonts w:ascii="Cambria" w:eastAsia="Batang" w:hAnsi="Cambria"/>
          <w:sz w:val="24"/>
          <w:szCs w:val="24"/>
        </w:rPr>
        <w:t>Se registran en el momento de su devengo con independencia de</w:t>
      </w:r>
      <w:r w:rsidR="002D6474">
        <w:rPr>
          <w:rFonts w:ascii="Cambria" w:eastAsia="Batang" w:hAnsi="Cambria"/>
          <w:sz w:val="24"/>
          <w:szCs w:val="24"/>
        </w:rPr>
        <w:t xml:space="preserve">l cobro o pago correspondiente. </w:t>
      </w:r>
      <w:r w:rsidRPr="00EA6621">
        <w:rPr>
          <w:rFonts w:ascii="Cambria" w:eastAsia="Batang" w:hAnsi="Cambria"/>
          <w:sz w:val="24"/>
          <w:szCs w:val="24"/>
        </w:rPr>
        <w:t>Los ingresos de la Compañía corresponden fundamentalmente a dividendos e intereses procedentes de las inversiones financieras realizadas.</w:t>
      </w:r>
    </w:p>
    <w:p w14:paraId="4B7F8000" w14:textId="77777777" w:rsidR="005272CC" w:rsidRDefault="005272CC" w:rsidP="00F25F25">
      <w:pPr>
        <w:pStyle w:val="not"/>
        <w:spacing w:before="0"/>
        <w:ind w:left="567" w:firstLine="0"/>
        <w:rPr>
          <w:rFonts w:ascii="Cambria" w:eastAsia="Batang" w:hAnsi="Cambria"/>
          <w:sz w:val="24"/>
          <w:szCs w:val="24"/>
        </w:rPr>
      </w:pPr>
    </w:p>
    <w:p w14:paraId="755E53C4" w14:textId="77777777" w:rsidR="00BD7039" w:rsidRPr="005037E0" w:rsidRDefault="00BD7039" w:rsidP="005272CC">
      <w:pPr>
        <w:pStyle w:val="not"/>
        <w:spacing w:before="0"/>
        <w:ind w:left="567" w:firstLine="0"/>
        <w:rPr>
          <w:rFonts w:ascii="Cambria" w:eastAsia="Batang" w:hAnsi="Cambria"/>
          <w:sz w:val="24"/>
          <w:szCs w:val="24"/>
        </w:rPr>
      </w:pPr>
    </w:p>
    <w:p w14:paraId="3EC08941" w14:textId="77777777" w:rsidR="005272CC" w:rsidRPr="00E137F5" w:rsidRDefault="005272CC" w:rsidP="005272CC">
      <w:pPr>
        <w:pStyle w:val="Ttulo5"/>
        <w:numPr>
          <w:ilvl w:val="0"/>
          <w:numId w:val="5"/>
        </w:numPr>
        <w:tabs>
          <w:tab w:val="clear" w:pos="1080"/>
          <w:tab w:val="num" w:pos="993"/>
        </w:tabs>
        <w:ind w:left="993" w:right="-63" w:hanging="426"/>
        <w:rPr>
          <w:rFonts w:ascii="Cambria" w:hAnsi="Cambria"/>
          <w:sz w:val="24"/>
          <w:u w:val="none"/>
          <w:lang w:val="es-ES_tradnl"/>
        </w:rPr>
      </w:pPr>
      <w:r w:rsidRPr="00E137F5">
        <w:rPr>
          <w:rFonts w:ascii="Cambria" w:hAnsi="Cambria"/>
          <w:sz w:val="24"/>
          <w:u w:val="none"/>
          <w:lang w:val="es-ES_tradnl"/>
        </w:rPr>
        <w:t>Transacciones entre partes vinculadas</w:t>
      </w:r>
    </w:p>
    <w:p w14:paraId="7B5E509C" w14:textId="77777777" w:rsidR="005272CC" w:rsidRPr="00EA6621" w:rsidRDefault="005272CC" w:rsidP="005272CC">
      <w:pPr>
        <w:pStyle w:val="not"/>
        <w:spacing w:before="0"/>
        <w:ind w:left="567" w:firstLine="0"/>
        <w:rPr>
          <w:rFonts w:ascii="Cambria" w:eastAsia="Batang" w:hAnsi="Cambria"/>
          <w:sz w:val="24"/>
          <w:szCs w:val="24"/>
        </w:rPr>
      </w:pPr>
    </w:p>
    <w:p w14:paraId="6C47743E" w14:textId="77777777" w:rsidR="005272CC" w:rsidRPr="00EA6621" w:rsidRDefault="005272CC" w:rsidP="005272CC">
      <w:pPr>
        <w:pStyle w:val="not"/>
        <w:spacing w:before="0"/>
        <w:ind w:left="567" w:firstLine="0"/>
        <w:rPr>
          <w:rFonts w:ascii="Cambria" w:eastAsia="Batang" w:hAnsi="Cambria"/>
          <w:sz w:val="24"/>
          <w:szCs w:val="24"/>
        </w:rPr>
      </w:pPr>
      <w:r w:rsidRPr="00EA6621">
        <w:rPr>
          <w:rFonts w:ascii="Cambria" w:eastAsia="Batang" w:hAnsi="Cambria"/>
          <w:sz w:val="24"/>
          <w:szCs w:val="24"/>
        </w:rPr>
        <w:t xml:space="preserve">Con carácter general, las operaciones entre empresas del grupo se contabilizan en el momento inicial por su valor razonable. En su caso, si el precio acordado difiere de su valor razonable, la diferencia se registra atendiendo a la realidad económica de la operación. La valoración posterior se realiza conforme con lo previsto en las correspondientes normas. </w:t>
      </w:r>
    </w:p>
    <w:p w14:paraId="0C436D3B" w14:textId="77777777" w:rsidR="00F90F97" w:rsidRPr="005272CC" w:rsidRDefault="00F90F97" w:rsidP="00BF49B9">
      <w:pPr>
        <w:spacing w:after="0" w:line="240" w:lineRule="auto"/>
        <w:rPr>
          <w:lang w:val="es-ES_tradnl"/>
        </w:rPr>
      </w:pPr>
    </w:p>
    <w:p w14:paraId="11C229E8" w14:textId="77777777" w:rsidR="00ED5BBB" w:rsidRDefault="00ED5BBB"/>
    <w:p w14:paraId="60CE68F8" w14:textId="77777777" w:rsidR="007E4582" w:rsidRPr="007E4582" w:rsidRDefault="007E4582" w:rsidP="007E4582">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7E4582">
        <w:rPr>
          <w:rFonts w:eastAsia="Batang" w:cs="Times New Roman"/>
          <w:b/>
          <w:bCs/>
          <w:szCs w:val="24"/>
          <w:u w:val="single"/>
          <w:lang w:val="es-ES_tradnl" w:eastAsia="es-ES"/>
        </w:rPr>
        <w:t>INSTRUMENTOS FINANCIEROS</w:t>
      </w:r>
    </w:p>
    <w:p w14:paraId="699DDB11" w14:textId="77777777" w:rsidR="007E4582" w:rsidRPr="007E4582" w:rsidRDefault="007E4582" w:rsidP="007E4582">
      <w:pPr>
        <w:tabs>
          <w:tab w:val="num" w:pos="540"/>
        </w:tabs>
        <w:overflowPunct w:val="0"/>
        <w:autoSpaceDE w:val="0"/>
        <w:autoSpaceDN w:val="0"/>
        <w:adjustRightInd w:val="0"/>
        <w:spacing w:after="0" w:line="240" w:lineRule="auto"/>
        <w:ind w:right="1025"/>
        <w:textAlignment w:val="baseline"/>
        <w:outlineLvl w:val="0"/>
        <w:rPr>
          <w:rFonts w:eastAsia="Batang" w:cs="Times New Roman"/>
          <w:b/>
          <w:iCs/>
          <w:szCs w:val="24"/>
          <w:u w:val="single"/>
          <w:lang w:val="es-ES_tradnl" w:eastAsia="es-ES"/>
        </w:rPr>
      </w:pPr>
    </w:p>
    <w:p w14:paraId="67EA075F" w14:textId="77777777" w:rsidR="007E4582" w:rsidRPr="007E4582" w:rsidRDefault="007E4582" w:rsidP="00BB497C">
      <w:pPr>
        <w:numPr>
          <w:ilvl w:val="1"/>
          <w:numId w:val="1"/>
        </w:numPr>
        <w:tabs>
          <w:tab w:val="left" w:pos="1276"/>
        </w:tabs>
        <w:overflowPunct w:val="0"/>
        <w:autoSpaceDE w:val="0"/>
        <w:autoSpaceDN w:val="0"/>
        <w:adjustRightInd w:val="0"/>
        <w:spacing w:after="0" w:line="240" w:lineRule="auto"/>
        <w:ind w:right="1025" w:hanging="225"/>
        <w:textAlignment w:val="baseline"/>
        <w:outlineLvl w:val="0"/>
        <w:rPr>
          <w:rFonts w:eastAsia="Batang" w:cs="Times New Roman"/>
          <w:b/>
          <w:i/>
          <w:iCs/>
          <w:szCs w:val="24"/>
          <w:u w:val="single"/>
          <w:lang w:val="es-ES_tradnl" w:eastAsia="es-ES"/>
        </w:rPr>
      </w:pPr>
      <w:r w:rsidRPr="007E4582">
        <w:rPr>
          <w:rFonts w:eastAsia="Batang" w:cs="Times New Roman"/>
          <w:b/>
          <w:i/>
          <w:szCs w:val="24"/>
          <w:lang w:val="es-ES_tradnl" w:eastAsia="es-ES"/>
        </w:rPr>
        <w:t>Activos financieros a largo plazo</w:t>
      </w:r>
    </w:p>
    <w:p w14:paraId="1829AC71" w14:textId="77777777" w:rsidR="007E4582" w:rsidRPr="007E4582" w:rsidRDefault="007E4582" w:rsidP="007E4582">
      <w:pPr>
        <w:overflowPunct w:val="0"/>
        <w:autoSpaceDE w:val="0"/>
        <w:autoSpaceDN w:val="0"/>
        <w:adjustRightInd w:val="0"/>
        <w:spacing w:after="0" w:line="240" w:lineRule="auto"/>
        <w:ind w:left="1065"/>
        <w:jc w:val="both"/>
        <w:textAlignment w:val="baseline"/>
        <w:rPr>
          <w:rFonts w:eastAsia="Batang" w:cs="Times New Roman"/>
          <w:iCs/>
          <w:szCs w:val="24"/>
          <w:u w:val="single"/>
          <w:lang w:val="es-ES_tradnl" w:eastAsia="es-ES"/>
        </w:rPr>
      </w:pPr>
    </w:p>
    <w:p w14:paraId="11C9383B" w14:textId="5E272CD7" w:rsidR="00A66611" w:rsidRDefault="007E4582"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7E4582">
        <w:rPr>
          <w:rFonts w:eastAsia="Batang" w:cs="Times New Roman"/>
          <w:szCs w:val="24"/>
          <w:lang w:val="es-ES_tradnl" w:eastAsia="es-ES"/>
        </w:rPr>
        <w:t xml:space="preserve">El detalle y valoración de la cartera de la Sociedad al cierre del </w:t>
      </w:r>
      <w:r w:rsidR="00D93E28">
        <w:rPr>
          <w:rFonts w:eastAsia="Batang" w:cs="Times New Roman"/>
          <w:szCs w:val="24"/>
          <w:lang w:val="es-ES_tradnl" w:eastAsia="es-ES"/>
        </w:rPr>
        <w:t>ejercicio 2020</w:t>
      </w:r>
      <w:r w:rsidRPr="007E4582">
        <w:rPr>
          <w:rFonts w:eastAsia="Batang" w:cs="Times New Roman"/>
          <w:szCs w:val="24"/>
          <w:lang w:val="es-ES_tradnl" w:eastAsia="es-ES"/>
        </w:rPr>
        <w:t xml:space="preserve"> y su comparación con el año anterior es el siguiente:</w:t>
      </w:r>
    </w:p>
    <w:p w14:paraId="6F7EE65A" w14:textId="77777777" w:rsidR="007E4582" w:rsidRDefault="007E4582"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59257611" w14:textId="77777777" w:rsidR="00C05B9D" w:rsidRDefault="00C05B9D"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0D2F5B19" w14:textId="77777777" w:rsidR="00C05B9D" w:rsidRPr="007E4582" w:rsidRDefault="00C05B9D"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778C1C9" w14:textId="3C8381BD" w:rsidR="007E4582" w:rsidRDefault="00826D68" w:rsidP="00EA4821">
      <w:pPr>
        <w:keepLines/>
        <w:overflowPunct w:val="0"/>
        <w:autoSpaceDE w:val="0"/>
        <w:autoSpaceDN w:val="0"/>
        <w:adjustRightInd w:val="0"/>
        <w:spacing w:after="0" w:line="240" w:lineRule="auto"/>
        <w:ind w:left="567"/>
        <w:textAlignment w:val="baseline"/>
        <w:rPr>
          <w:rFonts w:eastAsia="Batang" w:cs="Times New Roman"/>
          <w:szCs w:val="24"/>
          <w:lang w:val="es-ES_tradnl" w:eastAsia="es-ES"/>
        </w:rPr>
      </w:pPr>
      <w:r w:rsidRPr="00826D68">
        <w:rPr>
          <w:noProof/>
          <w:lang w:eastAsia="es-ES"/>
        </w:rPr>
        <w:lastRenderedPageBreak/>
        <w:drawing>
          <wp:inline distT="0" distB="0" distL="0" distR="0" wp14:anchorId="23E2A5F1" wp14:editId="5FEFC924">
            <wp:extent cx="5091132" cy="230726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5505" cy="2331907"/>
                    </a:xfrm>
                    <a:prstGeom prst="rect">
                      <a:avLst/>
                    </a:prstGeom>
                    <a:noFill/>
                    <a:ln>
                      <a:noFill/>
                    </a:ln>
                  </pic:spPr>
                </pic:pic>
              </a:graphicData>
            </a:graphic>
          </wp:inline>
        </w:drawing>
      </w:r>
    </w:p>
    <w:p w14:paraId="208F6521" w14:textId="77777777" w:rsidR="00C05B9D" w:rsidRDefault="00C05B9D" w:rsidP="00EA4821">
      <w:pPr>
        <w:keepLines/>
        <w:overflowPunct w:val="0"/>
        <w:autoSpaceDE w:val="0"/>
        <w:autoSpaceDN w:val="0"/>
        <w:adjustRightInd w:val="0"/>
        <w:spacing w:after="0" w:line="240" w:lineRule="auto"/>
        <w:ind w:left="567"/>
        <w:textAlignment w:val="baseline"/>
        <w:rPr>
          <w:rFonts w:eastAsia="Batang" w:cs="Times New Roman"/>
          <w:szCs w:val="24"/>
          <w:lang w:val="es-ES_tradnl" w:eastAsia="es-ES"/>
        </w:rPr>
      </w:pPr>
    </w:p>
    <w:p w14:paraId="38275C62" w14:textId="77777777" w:rsidR="00C05B9D" w:rsidRDefault="00C05B9D" w:rsidP="00EA4821">
      <w:pPr>
        <w:keepLines/>
        <w:overflowPunct w:val="0"/>
        <w:autoSpaceDE w:val="0"/>
        <w:autoSpaceDN w:val="0"/>
        <w:adjustRightInd w:val="0"/>
        <w:spacing w:after="0" w:line="240" w:lineRule="auto"/>
        <w:ind w:left="567"/>
        <w:textAlignment w:val="baseline"/>
        <w:rPr>
          <w:rFonts w:eastAsia="Batang" w:cs="Times New Roman"/>
          <w:szCs w:val="24"/>
          <w:lang w:val="es-ES_tradnl" w:eastAsia="es-ES"/>
        </w:rPr>
      </w:pPr>
    </w:p>
    <w:p w14:paraId="70509B59" w14:textId="1FE271FB" w:rsidR="009414E2" w:rsidRPr="00B80209" w:rsidRDefault="007E4582"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9414E2">
        <w:rPr>
          <w:rFonts w:eastAsia="Batang" w:cs="Times New Roman"/>
          <w:szCs w:val="24"/>
          <w:lang w:val="es-ES_tradnl" w:eastAsia="es-ES"/>
        </w:rPr>
        <w:t>Al cierre del ejercicio, la Sociedad ha valorado la totalidad de su cartera a valor razonable</w:t>
      </w:r>
      <w:r w:rsidR="00E6335A" w:rsidRPr="009414E2">
        <w:rPr>
          <w:rFonts w:eastAsia="Batang" w:cs="Times New Roman"/>
          <w:szCs w:val="24"/>
          <w:lang w:val="es-ES_tradnl" w:eastAsia="es-ES"/>
        </w:rPr>
        <w:t xml:space="preserve"> </w:t>
      </w:r>
      <w:r w:rsidR="00F61EA2" w:rsidRPr="008B7975">
        <w:rPr>
          <w:rFonts w:eastAsia="Batang" w:cs="Times New Roman"/>
          <w:szCs w:val="24"/>
          <w:lang w:val="es-ES_tradnl" w:eastAsia="es-ES"/>
        </w:rPr>
        <w:t>al considerarla un activo financiero disponible para la venta</w:t>
      </w:r>
      <w:r w:rsidR="004F4B56">
        <w:rPr>
          <w:rFonts w:eastAsia="Batang" w:cs="Times New Roman"/>
          <w:szCs w:val="24"/>
          <w:lang w:val="es-ES_tradnl" w:eastAsia="es-ES"/>
        </w:rPr>
        <w:t xml:space="preserve"> </w:t>
      </w:r>
      <w:r w:rsidR="004F4B56" w:rsidRPr="00393B09">
        <w:rPr>
          <w:rFonts w:eastAsia="Batang" w:cs="Times New Roman"/>
          <w:szCs w:val="24"/>
          <w:lang w:val="es-ES_tradnl" w:eastAsia="es-ES"/>
        </w:rPr>
        <w:t>aplicando</w:t>
      </w:r>
      <w:r w:rsidRPr="00393B09">
        <w:rPr>
          <w:rFonts w:eastAsia="Batang" w:cs="Times New Roman"/>
          <w:szCs w:val="24"/>
          <w:lang w:val="es-ES_tradnl" w:eastAsia="es-ES"/>
        </w:rPr>
        <w:t xml:space="preserve"> </w:t>
      </w:r>
      <w:r w:rsidR="004F4B56" w:rsidRPr="00393B09">
        <w:rPr>
          <w:rFonts w:eastAsia="Batang" w:cs="Times New Roman"/>
          <w:szCs w:val="24"/>
          <w:lang w:val="es-ES_tradnl" w:eastAsia="es-ES"/>
        </w:rPr>
        <w:t>l</w:t>
      </w:r>
      <w:r w:rsidRPr="00393B09">
        <w:rPr>
          <w:rFonts w:eastAsia="Batang" w:cs="Times New Roman"/>
          <w:szCs w:val="24"/>
          <w:lang w:val="es-ES_tradnl" w:eastAsia="es-ES"/>
        </w:rPr>
        <w:t>a cotiza</w:t>
      </w:r>
      <w:r w:rsidR="002A4DBD" w:rsidRPr="00393B09">
        <w:rPr>
          <w:rFonts w:eastAsia="Batang" w:cs="Times New Roman"/>
          <w:szCs w:val="24"/>
          <w:lang w:val="es-ES_tradnl" w:eastAsia="es-ES"/>
        </w:rPr>
        <w:t xml:space="preserve">ción </w:t>
      </w:r>
      <w:r w:rsidR="00AB15AF">
        <w:rPr>
          <w:rFonts w:eastAsia="Batang" w:cs="Times New Roman"/>
          <w:szCs w:val="24"/>
          <w:lang w:val="es-ES_tradnl" w:eastAsia="es-ES"/>
        </w:rPr>
        <w:t>del último día de 2020</w:t>
      </w:r>
      <w:r w:rsidRPr="00393B09">
        <w:rPr>
          <w:rFonts w:eastAsia="Batang" w:cs="Times New Roman"/>
          <w:szCs w:val="24"/>
          <w:lang w:val="es-ES_tradnl" w:eastAsia="es-ES"/>
        </w:rPr>
        <w:t xml:space="preserve"> </w:t>
      </w:r>
      <w:r w:rsidR="004F4B56" w:rsidRPr="00393B09">
        <w:rPr>
          <w:rFonts w:eastAsia="Batang" w:cs="Times New Roman"/>
          <w:szCs w:val="24"/>
          <w:lang w:val="es-ES_tradnl" w:eastAsia="es-ES"/>
        </w:rPr>
        <w:t xml:space="preserve">que ha ascendido a </w:t>
      </w:r>
      <w:r w:rsidR="009414E2" w:rsidRPr="00393B09">
        <w:rPr>
          <w:rFonts w:eastAsia="Batang" w:cs="Times New Roman"/>
          <w:szCs w:val="24"/>
          <w:lang w:val="es-ES_tradnl" w:eastAsia="es-ES"/>
        </w:rPr>
        <w:t>1</w:t>
      </w:r>
      <w:r w:rsidR="00C02EAE" w:rsidRPr="00393B09">
        <w:rPr>
          <w:rFonts w:eastAsia="Batang" w:cs="Times New Roman"/>
          <w:szCs w:val="24"/>
          <w:lang w:val="es-ES_tradnl" w:eastAsia="es-ES"/>
        </w:rPr>
        <w:t>8,94</w:t>
      </w:r>
      <w:r w:rsidRPr="00393B09">
        <w:rPr>
          <w:rFonts w:eastAsia="Batang" w:cs="Times New Roman"/>
          <w:szCs w:val="24"/>
          <w:lang w:val="es-ES_tradnl" w:eastAsia="es-ES"/>
        </w:rPr>
        <w:t xml:space="preserve"> €/título</w:t>
      </w:r>
      <w:r w:rsidR="004F4B56" w:rsidRPr="00393B09">
        <w:rPr>
          <w:rFonts w:eastAsia="Batang" w:cs="Times New Roman"/>
          <w:szCs w:val="24"/>
          <w:lang w:val="es-ES_tradnl" w:eastAsia="es-ES"/>
        </w:rPr>
        <w:t xml:space="preserve"> (inferior a la </w:t>
      </w:r>
      <w:r w:rsidR="009414E2" w:rsidRPr="00393B09">
        <w:rPr>
          <w:rFonts w:eastAsia="Batang" w:cs="Times New Roman"/>
          <w:szCs w:val="24"/>
          <w:lang w:val="es-ES_tradnl" w:eastAsia="es-ES"/>
        </w:rPr>
        <w:t xml:space="preserve">cotización </w:t>
      </w:r>
      <w:r w:rsidR="00672DAA">
        <w:rPr>
          <w:rFonts w:eastAsia="Batang" w:cs="Times New Roman"/>
          <w:szCs w:val="24"/>
          <w:lang w:val="es-ES_tradnl" w:eastAsia="es-ES"/>
        </w:rPr>
        <w:t xml:space="preserve">medía </w:t>
      </w:r>
      <w:r w:rsidR="009414E2" w:rsidRPr="00393B09">
        <w:rPr>
          <w:rFonts w:eastAsia="Batang" w:cs="Times New Roman"/>
          <w:szCs w:val="24"/>
          <w:lang w:val="es-ES_tradnl" w:eastAsia="es-ES"/>
        </w:rPr>
        <w:t xml:space="preserve">del último </w:t>
      </w:r>
      <w:r w:rsidR="00E92E0C" w:rsidRPr="00672DAA">
        <w:rPr>
          <w:rFonts w:eastAsia="Batang" w:cs="Times New Roman"/>
          <w:szCs w:val="24"/>
          <w:lang w:val="es-ES_tradnl" w:eastAsia="es-ES"/>
        </w:rPr>
        <w:t>trimestre</w:t>
      </w:r>
      <w:r w:rsidR="009414E2" w:rsidRPr="00672DAA">
        <w:rPr>
          <w:rFonts w:eastAsia="Batang" w:cs="Times New Roman"/>
          <w:szCs w:val="24"/>
          <w:lang w:val="es-ES_tradnl" w:eastAsia="es-ES"/>
        </w:rPr>
        <w:t xml:space="preserve"> </w:t>
      </w:r>
      <w:r w:rsidR="004F4B56" w:rsidRPr="00672DAA">
        <w:rPr>
          <w:rFonts w:eastAsia="Batang" w:cs="Times New Roman"/>
          <w:szCs w:val="24"/>
          <w:lang w:val="es-ES_tradnl" w:eastAsia="es-ES"/>
        </w:rPr>
        <w:t>que ascendió a</w:t>
      </w:r>
      <w:r w:rsidR="009414E2" w:rsidRPr="00672DAA">
        <w:rPr>
          <w:rFonts w:eastAsia="Batang" w:cs="Times New Roman"/>
          <w:szCs w:val="24"/>
          <w:lang w:val="es-ES_tradnl" w:eastAsia="es-ES"/>
        </w:rPr>
        <w:t xml:space="preserve"> 19,</w:t>
      </w:r>
      <w:r w:rsidR="00E92E0C" w:rsidRPr="00672DAA">
        <w:rPr>
          <w:rFonts w:eastAsia="Batang" w:cs="Times New Roman"/>
          <w:szCs w:val="24"/>
          <w:lang w:val="es-ES_tradnl" w:eastAsia="es-ES"/>
        </w:rPr>
        <w:t>42</w:t>
      </w:r>
      <w:r w:rsidR="009414E2" w:rsidRPr="00672DAA">
        <w:rPr>
          <w:rFonts w:eastAsia="Batang" w:cs="Times New Roman"/>
          <w:szCs w:val="24"/>
          <w:lang w:val="es-ES_tradnl" w:eastAsia="es-ES"/>
        </w:rPr>
        <w:t xml:space="preserve"> €/título</w:t>
      </w:r>
      <w:r w:rsidR="004F4B56" w:rsidRPr="00672DAA">
        <w:rPr>
          <w:rFonts w:eastAsia="Batang" w:cs="Times New Roman"/>
          <w:szCs w:val="24"/>
          <w:lang w:val="es-ES_tradnl" w:eastAsia="es-ES"/>
        </w:rPr>
        <w:t>)</w:t>
      </w:r>
      <w:r w:rsidR="009414E2" w:rsidRPr="00672DAA">
        <w:rPr>
          <w:rFonts w:eastAsia="Batang" w:cs="Times New Roman"/>
          <w:szCs w:val="24"/>
          <w:lang w:val="es-ES_tradnl" w:eastAsia="es-ES"/>
        </w:rPr>
        <w:t>.</w:t>
      </w:r>
    </w:p>
    <w:p w14:paraId="5F649E90" w14:textId="078F5342" w:rsidR="0032342E" w:rsidRPr="00B80209" w:rsidRDefault="0032342E"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079B191" w14:textId="32F2F578" w:rsidR="004F4B56" w:rsidRPr="00F25F25" w:rsidRDefault="0049477E" w:rsidP="007E4582">
      <w:pPr>
        <w:keepLines/>
        <w:overflowPunct w:val="0"/>
        <w:autoSpaceDE w:val="0"/>
        <w:autoSpaceDN w:val="0"/>
        <w:adjustRightInd w:val="0"/>
        <w:spacing w:after="0" w:line="240" w:lineRule="auto"/>
        <w:ind w:left="567"/>
        <w:jc w:val="both"/>
        <w:textAlignment w:val="baseline"/>
        <w:rPr>
          <w:rFonts w:eastAsia="Batang" w:cs="Times New Roman"/>
          <w:szCs w:val="24"/>
          <w:lang w:eastAsia="es-ES"/>
        </w:rPr>
      </w:pPr>
      <w:r>
        <w:rPr>
          <w:rFonts w:eastAsia="Batang" w:cs="Times New Roman"/>
          <w:szCs w:val="24"/>
          <w:lang w:val="es-ES_tradnl" w:eastAsia="es-ES"/>
        </w:rPr>
        <w:t>En 2019 l</w:t>
      </w:r>
      <w:r w:rsidR="004F4B56" w:rsidRPr="00B80209">
        <w:rPr>
          <w:rFonts w:eastAsia="Batang" w:cs="Times New Roman"/>
          <w:szCs w:val="24"/>
          <w:lang w:val="es-ES_tradnl" w:eastAsia="es-ES"/>
        </w:rPr>
        <w:t>a c</w:t>
      </w:r>
      <w:r w:rsidR="001B0EA9">
        <w:rPr>
          <w:rFonts w:eastAsia="Batang" w:cs="Times New Roman"/>
          <w:szCs w:val="24"/>
          <w:lang w:val="es-ES_tradnl" w:eastAsia="es-ES"/>
        </w:rPr>
        <w:t>otizac</w:t>
      </w:r>
      <w:r w:rsidR="001B0EA9" w:rsidRPr="0049477E">
        <w:rPr>
          <w:rFonts w:eastAsia="Batang" w:cs="Times New Roman"/>
          <w:szCs w:val="24"/>
          <w:lang w:val="es-ES_tradnl" w:eastAsia="es-ES"/>
        </w:rPr>
        <w:t>ión</w:t>
      </w:r>
      <w:r w:rsidR="001B0EA9">
        <w:rPr>
          <w:rFonts w:eastAsia="Batang" w:cs="Times New Roman"/>
          <w:szCs w:val="24"/>
          <w:lang w:val="es-ES_tradnl" w:eastAsia="es-ES"/>
        </w:rPr>
        <w:t xml:space="preserve"> </w:t>
      </w:r>
      <w:r w:rsidR="00E92E0C" w:rsidRPr="0049477E">
        <w:rPr>
          <w:rFonts w:eastAsia="Batang" w:cs="Times New Roman"/>
          <w:szCs w:val="24"/>
          <w:lang w:val="es-ES_tradnl" w:eastAsia="es-ES"/>
        </w:rPr>
        <w:t xml:space="preserve">media </w:t>
      </w:r>
      <w:r w:rsidR="001B0EA9" w:rsidRPr="0049477E">
        <w:rPr>
          <w:rFonts w:eastAsia="Batang" w:cs="Times New Roman"/>
          <w:szCs w:val="24"/>
          <w:lang w:val="es-ES_tradnl" w:eastAsia="es-ES"/>
        </w:rPr>
        <w:t xml:space="preserve">del último </w:t>
      </w:r>
      <w:r w:rsidR="00E92E0C" w:rsidRPr="0049477E">
        <w:rPr>
          <w:rFonts w:eastAsia="Batang" w:cs="Times New Roman"/>
          <w:szCs w:val="24"/>
          <w:lang w:val="es-ES_tradnl" w:eastAsia="es-ES"/>
        </w:rPr>
        <w:t>trimestre</w:t>
      </w:r>
      <w:r w:rsidR="00E92E0C">
        <w:rPr>
          <w:rFonts w:eastAsia="Batang" w:cs="Times New Roman"/>
          <w:szCs w:val="24"/>
          <w:lang w:val="es-ES_tradnl" w:eastAsia="es-ES"/>
        </w:rPr>
        <w:t xml:space="preserve"> </w:t>
      </w:r>
      <w:r w:rsidR="004F4B56" w:rsidRPr="00B80209">
        <w:rPr>
          <w:rFonts w:eastAsia="Batang" w:cs="Times New Roman"/>
          <w:szCs w:val="24"/>
          <w:lang w:val="es-ES_tradnl" w:eastAsia="es-ES"/>
        </w:rPr>
        <w:t>de las acciones de Ebro Foods</w:t>
      </w:r>
      <w:r w:rsidR="001B0EA9">
        <w:rPr>
          <w:rFonts w:eastAsia="Batang" w:cs="Times New Roman"/>
          <w:szCs w:val="24"/>
          <w:lang w:val="es-ES_tradnl" w:eastAsia="es-ES"/>
        </w:rPr>
        <w:t xml:space="preserve"> fue de 19</w:t>
      </w:r>
      <w:r w:rsidR="001B0EA9" w:rsidRPr="0049477E">
        <w:rPr>
          <w:rFonts w:eastAsia="Batang" w:cs="Times New Roman"/>
          <w:szCs w:val="24"/>
          <w:lang w:val="es-ES_tradnl" w:eastAsia="es-ES"/>
        </w:rPr>
        <w:t>,2</w:t>
      </w:r>
      <w:r w:rsidR="00E92E0C" w:rsidRPr="0049477E">
        <w:rPr>
          <w:rFonts w:eastAsia="Batang" w:cs="Times New Roman"/>
          <w:szCs w:val="24"/>
          <w:lang w:val="es-ES_tradnl" w:eastAsia="es-ES"/>
        </w:rPr>
        <w:t>79</w:t>
      </w:r>
      <w:r w:rsidR="004F4B56" w:rsidRPr="00B80209">
        <w:rPr>
          <w:rFonts w:eastAsia="Batang" w:cs="Times New Roman"/>
          <w:szCs w:val="24"/>
          <w:lang w:val="es-ES_tradnl" w:eastAsia="es-ES"/>
        </w:rPr>
        <w:t xml:space="preserve"> €/título</w:t>
      </w:r>
      <w:r w:rsidR="00F25F25">
        <w:rPr>
          <w:rFonts w:eastAsia="Batang" w:cs="Times New Roman"/>
          <w:szCs w:val="24"/>
          <w:lang w:val="es-ES_tradnl" w:eastAsia="es-ES"/>
        </w:rPr>
        <w:t xml:space="preserve"> (inferior a la cotización del último día que fue de 19,290 </w:t>
      </w:r>
      <w:r w:rsidR="00F25F25" w:rsidRPr="00B80209">
        <w:rPr>
          <w:rFonts w:eastAsia="Batang" w:cs="Times New Roman"/>
          <w:szCs w:val="24"/>
          <w:lang w:val="es-ES_tradnl" w:eastAsia="es-ES"/>
        </w:rPr>
        <w:t>€/título</w:t>
      </w:r>
      <w:r w:rsidR="00F25F25">
        <w:rPr>
          <w:rFonts w:eastAsia="Batang" w:cs="Times New Roman"/>
          <w:szCs w:val="24"/>
          <w:lang w:val="es-ES_tradnl" w:eastAsia="es-ES"/>
        </w:rPr>
        <w:t>).</w:t>
      </w:r>
    </w:p>
    <w:p w14:paraId="07EE0684" w14:textId="77777777" w:rsidR="004F4B56" w:rsidRDefault="004F4B56"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223F69F" w14:textId="77777777" w:rsidR="0032342E" w:rsidRPr="00432374" w:rsidRDefault="0032342E"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32374">
        <w:rPr>
          <w:rFonts w:eastAsia="Batang" w:cs="Times New Roman"/>
          <w:szCs w:val="24"/>
          <w:lang w:val="es-ES_tradnl" w:eastAsia="es-ES"/>
        </w:rPr>
        <w:t>El Administrador único considera que la sociedad no cuenta con capacidad para ejercer influencia significativa en la sociedad participada. Influencia significativa es el poder intervenir en las decisiones de las políticas financieras y de operaciones.</w:t>
      </w:r>
    </w:p>
    <w:p w14:paraId="28B8F25A" w14:textId="77777777" w:rsidR="0032342E" w:rsidRPr="00432374" w:rsidRDefault="0032342E"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5A363033" w14:textId="77777777" w:rsidR="0032342E" w:rsidRPr="00432374" w:rsidRDefault="0032342E"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32374">
        <w:rPr>
          <w:rFonts w:eastAsia="Batang" w:cs="Times New Roman"/>
          <w:szCs w:val="24"/>
          <w:lang w:val="es-ES_tradnl" w:eastAsia="es-ES"/>
        </w:rPr>
        <w:t>Si bien la sociedad tiene un representante (consejero dominical) en el consejo de Administración, Alimentos y Aceites, S.A. no participa en ninguna Comisión ejecutiva ni en los proceso de fijación de políticas de Ebro Foods.</w:t>
      </w:r>
    </w:p>
    <w:p w14:paraId="6BE3F5A2" w14:textId="77777777" w:rsidR="007E4582" w:rsidRPr="00432374" w:rsidRDefault="007E4582" w:rsidP="007E45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3533147" w14:textId="77777777" w:rsidR="005272CC" w:rsidRPr="00AA1B4F" w:rsidRDefault="005272CC" w:rsidP="00BF49B9">
      <w:pPr>
        <w:spacing w:after="0" w:line="240" w:lineRule="auto"/>
        <w:rPr>
          <w:strike/>
          <w:lang w:val="es-ES_tradnl"/>
        </w:rPr>
      </w:pPr>
    </w:p>
    <w:p w14:paraId="49963A26" w14:textId="77777777" w:rsidR="007E4582" w:rsidRPr="007E4582" w:rsidRDefault="007E4582" w:rsidP="007E4582">
      <w:pPr>
        <w:numPr>
          <w:ilvl w:val="1"/>
          <w:numId w:val="1"/>
        </w:numPr>
        <w:overflowPunct w:val="0"/>
        <w:autoSpaceDE w:val="0"/>
        <w:autoSpaceDN w:val="0"/>
        <w:adjustRightInd w:val="0"/>
        <w:spacing w:after="0" w:line="240" w:lineRule="auto"/>
        <w:ind w:right="1025" w:hanging="225"/>
        <w:textAlignment w:val="baseline"/>
        <w:outlineLvl w:val="0"/>
        <w:rPr>
          <w:rFonts w:eastAsia="Batang" w:cs="Times New Roman"/>
          <w:b/>
          <w:i/>
          <w:szCs w:val="24"/>
          <w:lang w:val="es-ES_tradnl" w:eastAsia="es-ES"/>
        </w:rPr>
      </w:pPr>
      <w:r w:rsidRPr="007E4582">
        <w:rPr>
          <w:rFonts w:eastAsia="Batang" w:cs="Times New Roman"/>
          <w:b/>
          <w:i/>
          <w:szCs w:val="24"/>
          <w:lang w:val="es-ES_tradnl" w:eastAsia="es-ES"/>
        </w:rPr>
        <w:t>Activos financieros a corto plazo</w:t>
      </w:r>
    </w:p>
    <w:p w14:paraId="234196FA" w14:textId="77777777" w:rsidR="007E4582" w:rsidRPr="007E4582" w:rsidRDefault="007E4582" w:rsidP="007E4582">
      <w:pPr>
        <w:overflowPunct w:val="0"/>
        <w:autoSpaceDE w:val="0"/>
        <w:autoSpaceDN w:val="0"/>
        <w:adjustRightInd w:val="0"/>
        <w:spacing w:after="0" w:line="240" w:lineRule="auto"/>
        <w:ind w:left="360" w:right="1025"/>
        <w:textAlignment w:val="baseline"/>
        <w:outlineLvl w:val="0"/>
        <w:rPr>
          <w:rFonts w:eastAsia="Batang" w:cs="Times New Roman"/>
          <w:b/>
          <w:iCs/>
          <w:szCs w:val="24"/>
          <w:u w:val="single"/>
          <w:lang w:val="es-ES_tradnl" w:eastAsia="es-ES"/>
        </w:rPr>
      </w:pPr>
    </w:p>
    <w:p w14:paraId="2649C020" w14:textId="77777777" w:rsidR="007E4582" w:rsidRPr="007E4582" w:rsidRDefault="007E4582" w:rsidP="007E4582">
      <w:pPr>
        <w:numPr>
          <w:ilvl w:val="2"/>
          <w:numId w:val="1"/>
        </w:numPr>
        <w:tabs>
          <w:tab w:val="clear" w:pos="1224"/>
          <w:tab w:val="left" w:pos="1418"/>
        </w:tabs>
        <w:overflowPunct w:val="0"/>
        <w:autoSpaceDE w:val="0"/>
        <w:autoSpaceDN w:val="0"/>
        <w:adjustRightInd w:val="0"/>
        <w:spacing w:after="0" w:line="240" w:lineRule="auto"/>
        <w:ind w:left="1080" w:right="1025" w:hanging="513"/>
        <w:textAlignment w:val="baseline"/>
        <w:outlineLvl w:val="0"/>
        <w:rPr>
          <w:rFonts w:eastAsia="Batang" w:cs="Times New Roman"/>
          <w:i/>
          <w:iCs/>
          <w:szCs w:val="24"/>
          <w:u w:val="single"/>
          <w:lang w:val="es-ES_tradnl" w:eastAsia="es-ES"/>
        </w:rPr>
      </w:pPr>
      <w:r w:rsidRPr="007E4582">
        <w:rPr>
          <w:rFonts w:eastAsia="Batang" w:cs="Times New Roman"/>
          <w:i/>
          <w:iCs/>
          <w:szCs w:val="24"/>
          <w:lang w:val="es-ES_tradnl" w:eastAsia="es-ES"/>
        </w:rPr>
        <w:t>Deudores comerciales y otras cuentas a cobrar:</w:t>
      </w:r>
    </w:p>
    <w:p w14:paraId="765C5427" w14:textId="77777777" w:rsidR="007E4582" w:rsidRPr="007E4582" w:rsidRDefault="007E4582" w:rsidP="007E4582">
      <w:pPr>
        <w:overflowPunct w:val="0"/>
        <w:autoSpaceDE w:val="0"/>
        <w:autoSpaceDN w:val="0"/>
        <w:adjustRightInd w:val="0"/>
        <w:spacing w:after="0" w:line="240" w:lineRule="auto"/>
        <w:jc w:val="both"/>
        <w:textAlignment w:val="baseline"/>
        <w:outlineLvl w:val="0"/>
        <w:rPr>
          <w:rFonts w:eastAsia="Batang" w:cs="Times New Roman"/>
          <w:b/>
          <w:bCs/>
          <w:i/>
          <w:iCs/>
          <w:szCs w:val="24"/>
          <w:u w:val="single"/>
          <w:lang w:val="es-ES_tradnl" w:eastAsia="es-ES"/>
        </w:rPr>
      </w:pPr>
    </w:p>
    <w:p w14:paraId="4F1555C7" w14:textId="5F27F94E" w:rsidR="007E4582" w:rsidRPr="007E4582" w:rsidRDefault="007E4582" w:rsidP="007E4582">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EF53B5">
        <w:rPr>
          <w:rFonts w:eastAsia="Batang" w:cs="Times New Roman"/>
          <w:szCs w:val="24"/>
          <w:lang w:val="es-ES_tradnl" w:eastAsia="es-ES"/>
        </w:rPr>
        <w:t xml:space="preserve">Al cierre del ejercicio, la Sociedad ha recogido en este epígrafe un </w:t>
      </w:r>
      <w:r w:rsidRPr="00B80209">
        <w:rPr>
          <w:rFonts w:eastAsia="Batang" w:cs="Times New Roman"/>
          <w:szCs w:val="24"/>
          <w:lang w:val="es-ES_tradnl" w:eastAsia="es-ES"/>
        </w:rPr>
        <w:t xml:space="preserve">importe de </w:t>
      </w:r>
      <w:r w:rsidR="00986698">
        <w:rPr>
          <w:rFonts w:eastAsia="Batang" w:cs="Times New Roman"/>
          <w:szCs w:val="24"/>
          <w:lang w:val="es-ES_tradnl" w:eastAsia="es-ES"/>
        </w:rPr>
        <w:t>80.728,24</w:t>
      </w:r>
      <w:r w:rsidR="00324506" w:rsidRPr="00B80209">
        <w:rPr>
          <w:rFonts w:eastAsia="Batang" w:cs="Times New Roman"/>
          <w:szCs w:val="24"/>
          <w:lang w:val="es-ES_tradnl" w:eastAsia="es-ES"/>
        </w:rPr>
        <w:t xml:space="preserve"> </w:t>
      </w:r>
      <w:r w:rsidRPr="00B80209">
        <w:rPr>
          <w:rFonts w:eastAsia="Batang" w:cs="Times New Roman"/>
          <w:szCs w:val="24"/>
          <w:lang w:val="es-ES_tradnl" w:eastAsia="es-ES"/>
        </w:rPr>
        <w:t>euros</w:t>
      </w:r>
      <w:r w:rsidR="009D45C3" w:rsidRPr="00B80209">
        <w:rPr>
          <w:rFonts w:eastAsia="Batang" w:cs="Times New Roman"/>
          <w:szCs w:val="24"/>
          <w:lang w:val="es-ES_tradnl" w:eastAsia="es-ES"/>
        </w:rPr>
        <w:t>,</w:t>
      </w:r>
      <w:r w:rsidRPr="00EF53B5">
        <w:rPr>
          <w:rFonts w:eastAsia="Batang" w:cs="Times New Roman"/>
          <w:szCs w:val="24"/>
          <w:lang w:val="es-ES_tradnl" w:eastAsia="es-ES"/>
        </w:rPr>
        <w:t xml:space="preserve"> cifra </w:t>
      </w:r>
      <w:r w:rsidR="009D45C3">
        <w:rPr>
          <w:rFonts w:eastAsia="Batang" w:cs="Times New Roman"/>
          <w:szCs w:val="24"/>
          <w:lang w:val="es-ES_tradnl" w:eastAsia="es-ES"/>
        </w:rPr>
        <w:t>c</w:t>
      </w:r>
      <w:r w:rsidRPr="00EF53B5">
        <w:rPr>
          <w:rFonts w:eastAsia="Batang" w:cs="Times New Roman"/>
          <w:szCs w:val="24"/>
          <w:lang w:val="es-ES_tradnl" w:eastAsia="es-ES"/>
        </w:rPr>
        <w:t>orrespond</w:t>
      </w:r>
      <w:r w:rsidR="009D45C3">
        <w:rPr>
          <w:rFonts w:eastAsia="Batang" w:cs="Times New Roman"/>
          <w:szCs w:val="24"/>
          <w:lang w:val="es-ES_tradnl" w:eastAsia="es-ES"/>
        </w:rPr>
        <w:t xml:space="preserve">iente </w:t>
      </w:r>
      <w:r w:rsidRPr="00EF53B5">
        <w:rPr>
          <w:rFonts w:eastAsia="Batang" w:cs="Times New Roman"/>
          <w:szCs w:val="24"/>
          <w:lang w:val="es-ES_tradnl" w:eastAsia="es-ES"/>
        </w:rPr>
        <w:t>a las cantidades pendientes de cobro por la participación estatutaria en Ebro Foods.</w:t>
      </w:r>
    </w:p>
    <w:p w14:paraId="008885A5" w14:textId="77777777" w:rsidR="007E4582" w:rsidRPr="007E4582" w:rsidRDefault="007E4582" w:rsidP="007E4582">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107BAFF6" w14:textId="69C4D94C" w:rsidR="00F90F97" w:rsidRDefault="007E4582" w:rsidP="00C6588F">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2A4DBD">
        <w:rPr>
          <w:rFonts w:eastAsia="Batang" w:cs="Times New Roman"/>
          <w:szCs w:val="24"/>
          <w:lang w:val="es-ES_tradnl" w:eastAsia="es-ES"/>
        </w:rPr>
        <w:t>A 31.12.201</w:t>
      </w:r>
      <w:r w:rsidR="00986698">
        <w:rPr>
          <w:rFonts w:eastAsia="Batang" w:cs="Times New Roman"/>
          <w:szCs w:val="24"/>
          <w:lang w:val="es-ES_tradnl" w:eastAsia="es-ES"/>
        </w:rPr>
        <w:t>9</w:t>
      </w:r>
      <w:r w:rsidRPr="002A4DBD">
        <w:rPr>
          <w:rFonts w:eastAsia="Batang" w:cs="Times New Roman"/>
          <w:szCs w:val="24"/>
          <w:lang w:val="es-ES_tradnl" w:eastAsia="es-ES"/>
        </w:rPr>
        <w:t xml:space="preserve"> este epígrafe present</w:t>
      </w:r>
      <w:r w:rsidR="002A4DBD" w:rsidRPr="002A4DBD">
        <w:rPr>
          <w:rFonts w:eastAsia="Batang" w:cs="Times New Roman"/>
          <w:szCs w:val="24"/>
          <w:lang w:val="es-ES_tradnl" w:eastAsia="es-ES"/>
        </w:rPr>
        <w:t xml:space="preserve">aba un saldo </w:t>
      </w:r>
      <w:r w:rsidR="002A4DBD" w:rsidRPr="00200361">
        <w:rPr>
          <w:rFonts w:eastAsia="Batang" w:cs="Times New Roman"/>
          <w:szCs w:val="24"/>
          <w:lang w:val="es-ES_tradnl" w:eastAsia="es-ES"/>
        </w:rPr>
        <w:t xml:space="preserve">de </w:t>
      </w:r>
      <w:r w:rsidR="00986698" w:rsidRPr="00200361">
        <w:rPr>
          <w:rFonts w:eastAsia="Batang" w:cs="Times New Roman"/>
          <w:szCs w:val="24"/>
          <w:lang w:val="es-ES_tradnl" w:eastAsia="es-ES"/>
        </w:rPr>
        <w:t>78.</w:t>
      </w:r>
      <w:r w:rsidR="0016787A">
        <w:rPr>
          <w:rFonts w:eastAsia="Batang" w:cs="Times New Roman"/>
          <w:szCs w:val="24"/>
          <w:lang w:val="es-ES_tradnl" w:eastAsia="es-ES"/>
        </w:rPr>
        <w:t>388,60</w:t>
      </w:r>
      <w:r w:rsidRPr="002A4DBD">
        <w:rPr>
          <w:rFonts w:eastAsia="Batang" w:cs="Times New Roman"/>
          <w:szCs w:val="24"/>
          <w:lang w:val="es-ES_tradnl" w:eastAsia="es-ES"/>
        </w:rPr>
        <w:t xml:space="preserve"> euros.</w:t>
      </w:r>
    </w:p>
    <w:p w14:paraId="590FFAAF" w14:textId="77777777" w:rsidR="00C05B9D" w:rsidRDefault="00C05B9D" w:rsidP="00C6588F">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10B70AC9" w14:textId="3FD132F8" w:rsidR="00C05B9D" w:rsidRDefault="00C05B9D" w:rsidP="00C6588F">
      <w:pPr>
        <w:overflowPunct w:val="0"/>
        <w:autoSpaceDE w:val="0"/>
        <w:autoSpaceDN w:val="0"/>
        <w:adjustRightInd w:val="0"/>
        <w:spacing w:after="0" w:line="240" w:lineRule="auto"/>
        <w:ind w:left="1418"/>
        <w:jc w:val="both"/>
        <w:textAlignment w:val="baseline"/>
        <w:rPr>
          <w:lang w:val="es-ES_tradnl"/>
        </w:rPr>
      </w:pPr>
    </w:p>
    <w:p w14:paraId="579D1F52" w14:textId="41C774B7" w:rsidR="0016787A" w:rsidRDefault="0016787A" w:rsidP="00C6588F">
      <w:pPr>
        <w:overflowPunct w:val="0"/>
        <w:autoSpaceDE w:val="0"/>
        <w:autoSpaceDN w:val="0"/>
        <w:adjustRightInd w:val="0"/>
        <w:spacing w:after="0" w:line="240" w:lineRule="auto"/>
        <w:ind w:left="1418"/>
        <w:jc w:val="both"/>
        <w:textAlignment w:val="baseline"/>
        <w:rPr>
          <w:lang w:val="es-ES_tradnl"/>
        </w:rPr>
      </w:pPr>
    </w:p>
    <w:p w14:paraId="1BD567D9" w14:textId="64FDC1BA" w:rsidR="0016787A" w:rsidRDefault="0016787A" w:rsidP="00C6588F">
      <w:pPr>
        <w:overflowPunct w:val="0"/>
        <w:autoSpaceDE w:val="0"/>
        <w:autoSpaceDN w:val="0"/>
        <w:adjustRightInd w:val="0"/>
        <w:spacing w:after="0" w:line="240" w:lineRule="auto"/>
        <w:ind w:left="1418"/>
        <w:jc w:val="both"/>
        <w:textAlignment w:val="baseline"/>
        <w:rPr>
          <w:lang w:val="es-ES_tradnl"/>
        </w:rPr>
      </w:pPr>
    </w:p>
    <w:p w14:paraId="75FDEADD" w14:textId="29280883" w:rsidR="0016787A" w:rsidRDefault="0016787A" w:rsidP="00C6588F">
      <w:pPr>
        <w:overflowPunct w:val="0"/>
        <w:autoSpaceDE w:val="0"/>
        <w:autoSpaceDN w:val="0"/>
        <w:adjustRightInd w:val="0"/>
        <w:spacing w:after="0" w:line="240" w:lineRule="auto"/>
        <w:ind w:left="1418"/>
        <w:jc w:val="both"/>
        <w:textAlignment w:val="baseline"/>
        <w:rPr>
          <w:lang w:val="es-ES_tradnl"/>
        </w:rPr>
      </w:pPr>
    </w:p>
    <w:p w14:paraId="2851447E" w14:textId="77777777" w:rsidR="008E3E27" w:rsidRPr="008E3E27" w:rsidRDefault="008E3E27" w:rsidP="008E3E27">
      <w:pPr>
        <w:numPr>
          <w:ilvl w:val="2"/>
          <w:numId w:val="1"/>
        </w:numPr>
        <w:tabs>
          <w:tab w:val="clear" w:pos="1224"/>
          <w:tab w:val="left" w:pos="1418"/>
        </w:tabs>
        <w:overflowPunct w:val="0"/>
        <w:autoSpaceDE w:val="0"/>
        <w:autoSpaceDN w:val="0"/>
        <w:adjustRightInd w:val="0"/>
        <w:spacing w:after="0" w:line="240" w:lineRule="auto"/>
        <w:ind w:left="1080" w:right="1025" w:hanging="513"/>
        <w:textAlignment w:val="baseline"/>
        <w:outlineLvl w:val="0"/>
        <w:rPr>
          <w:rFonts w:eastAsia="Batang" w:cs="Times New Roman"/>
          <w:i/>
          <w:iCs/>
          <w:szCs w:val="24"/>
          <w:lang w:val="es-ES_tradnl" w:eastAsia="es-ES"/>
        </w:rPr>
      </w:pPr>
      <w:r w:rsidRPr="008E3E27">
        <w:rPr>
          <w:rFonts w:eastAsia="Batang" w:cs="Times New Roman"/>
          <w:i/>
          <w:iCs/>
          <w:szCs w:val="24"/>
          <w:lang w:val="es-ES_tradnl" w:eastAsia="es-ES"/>
        </w:rPr>
        <w:lastRenderedPageBreak/>
        <w:t>Inversiones en empresas del grupo y asociadas a corto plazo:</w:t>
      </w:r>
    </w:p>
    <w:p w14:paraId="50BD50BE"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09CF60FE" w14:textId="0AF27109" w:rsid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CD4E8E">
        <w:rPr>
          <w:rFonts w:eastAsia="Batang" w:cs="Times New Roman"/>
          <w:szCs w:val="24"/>
          <w:lang w:val="es-ES_tradnl" w:eastAsia="es-ES"/>
        </w:rPr>
        <w:t xml:space="preserve">Al cierre del ejercicio, la Sociedad ha recogido en este epígrafe un importe </w:t>
      </w:r>
      <w:r w:rsidRPr="00C766F7">
        <w:rPr>
          <w:rFonts w:eastAsia="Batang" w:cs="Times New Roman"/>
          <w:szCs w:val="24"/>
          <w:lang w:val="es-ES_tradnl" w:eastAsia="es-ES"/>
        </w:rPr>
        <w:t xml:space="preserve">de </w:t>
      </w:r>
      <w:r w:rsidR="005D7165">
        <w:rPr>
          <w:rFonts w:eastAsia="Batang" w:cs="Times New Roman"/>
          <w:szCs w:val="24"/>
          <w:lang w:val="es-ES_tradnl" w:eastAsia="es-ES"/>
        </w:rPr>
        <w:t>8.567.479,79</w:t>
      </w:r>
      <w:r w:rsidRPr="003F5C3A">
        <w:rPr>
          <w:rFonts w:eastAsia="Batang" w:cs="Times New Roman"/>
          <w:szCs w:val="24"/>
          <w:lang w:val="es-ES_tradnl" w:eastAsia="es-ES"/>
        </w:rPr>
        <w:t xml:space="preserve"> euros</w:t>
      </w:r>
      <w:r w:rsidR="001A3A0A" w:rsidRPr="00C766F7">
        <w:rPr>
          <w:rFonts w:eastAsia="Batang" w:cs="Times New Roman"/>
          <w:szCs w:val="24"/>
          <w:lang w:val="es-ES_tradnl" w:eastAsia="es-ES"/>
        </w:rPr>
        <w:t>. E</w:t>
      </w:r>
      <w:r w:rsidRPr="00C766F7">
        <w:rPr>
          <w:rFonts w:eastAsia="Batang" w:cs="Times New Roman"/>
          <w:szCs w:val="24"/>
          <w:lang w:val="es-ES_tradnl" w:eastAsia="es-ES"/>
        </w:rPr>
        <w:t>sta</w:t>
      </w:r>
      <w:r w:rsidRPr="001A3A0A">
        <w:rPr>
          <w:rFonts w:eastAsia="Batang" w:cs="Times New Roman"/>
          <w:szCs w:val="24"/>
          <w:lang w:val="es-ES_tradnl" w:eastAsia="es-ES"/>
        </w:rPr>
        <w:t xml:space="preserve"> cifra</w:t>
      </w:r>
      <w:r w:rsidR="001A3A0A">
        <w:rPr>
          <w:rFonts w:eastAsia="Batang" w:cs="Times New Roman"/>
          <w:szCs w:val="24"/>
          <w:lang w:val="es-ES_tradnl" w:eastAsia="es-ES"/>
        </w:rPr>
        <w:t xml:space="preserve"> corresponde</w:t>
      </w:r>
      <w:r w:rsidRPr="001A3A0A">
        <w:rPr>
          <w:rFonts w:eastAsia="Batang" w:cs="Times New Roman"/>
          <w:szCs w:val="24"/>
          <w:lang w:val="es-ES_tradnl" w:eastAsia="es-ES"/>
        </w:rPr>
        <w:t xml:space="preserve"> al principal más los intereses acumulados devengados y no cobrados de las colocaciones a corto plazo de tesorería en la sociedad matriz SEPI.</w:t>
      </w:r>
    </w:p>
    <w:p w14:paraId="73C8AD30" w14:textId="77777777" w:rsidR="00E8635A" w:rsidRPr="001A3A0A" w:rsidRDefault="00E8635A"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74A8FE20" w14:textId="3D293615" w:rsidR="001B54DF"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E8635A">
        <w:rPr>
          <w:rFonts w:eastAsia="Batang" w:cs="Times New Roman"/>
          <w:szCs w:val="24"/>
          <w:lang w:val="es-ES_tradnl" w:eastAsia="es-ES"/>
        </w:rPr>
        <w:t>A cierre de 201</w:t>
      </w:r>
      <w:r w:rsidR="00DC3727">
        <w:rPr>
          <w:rFonts w:eastAsia="Batang" w:cs="Times New Roman"/>
          <w:szCs w:val="24"/>
          <w:lang w:val="es-ES_tradnl" w:eastAsia="es-ES"/>
        </w:rPr>
        <w:t>9</w:t>
      </w:r>
      <w:r w:rsidRPr="00E8635A">
        <w:rPr>
          <w:rFonts w:eastAsia="Batang" w:cs="Times New Roman"/>
          <w:szCs w:val="24"/>
          <w:lang w:val="es-ES_tradnl" w:eastAsia="es-ES"/>
        </w:rPr>
        <w:t xml:space="preserve">, el saldo de este epígrafe ascendía a </w:t>
      </w:r>
      <w:r w:rsidR="005D7165">
        <w:rPr>
          <w:rFonts w:eastAsia="Batang" w:cs="Times New Roman"/>
          <w:szCs w:val="24"/>
          <w:lang w:val="es-ES_tradnl" w:eastAsia="es-ES"/>
        </w:rPr>
        <w:t>8.189.109,06</w:t>
      </w:r>
      <w:r w:rsidR="001B54DF" w:rsidRPr="00E8635A">
        <w:rPr>
          <w:rFonts w:eastAsia="Batang" w:cs="Times New Roman"/>
          <w:szCs w:val="24"/>
          <w:lang w:val="es-ES_tradnl" w:eastAsia="es-ES"/>
        </w:rPr>
        <w:t xml:space="preserve"> euros.</w:t>
      </w:r>
    </w:p>
    <w:p w14:paraId="6FD5E7F9"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7C311ECF" w14:textId="77777777" w:rsidR="008E3E27" w:rsidRPr="008E3E27" w:rsidRDefault="008E3E27" w:rsidP="008E3E27">
      <w:pPr>
        <w:numPr>
          <w:ilvl w:val="2"/>
          <w:numId w:val="1"/>
        </w:numPr>
        <w:tabs>
          <w:tab w:val="clear" w:pos="1224"/>
          <w:tab w:val="left" w:pos="1418"/>
        </w:tabs>
        <w:overflowPunct w:val="0"/>
        <w:autoSpaceDE w:val="0"/>
        <w:autoSpaceDN w:val="0"/>
        <w:adjustRightInd w:val="0"/>
        <w:spacing w:after="0" w:line="240" w:lineRule="auto"/>
        <w:ind w:left="1080" w:right="1025" w:hanging="513"/>
        <w:textAlignment w:val="baseline"/>
        <w:outlineLvl w:val="0"/>
        <w:rPr>
          <w:rFonts w:eastAsia="Batang" w:cs="Times New Roman"/>
          <w:i/>
          <w:iCs/>
          <w:szCs w:val="24"/>
          <w:lang w:val="es-ES_tradnl" w:eastAsia="es-ES"/>
        </w:rPr>
      </w:pPr>
      <w:r w:rsidRPr="008E3E27">
        <w:rPr>
          <w:rFonts w:eastAsia="Batang" w:cs="Times New Roman"/>
          <w:i/>
          <w:iCs/>
          <w:szCs w:val="24"/>
          <w:lang w:val="es-ES_tradnl" w:eastAsia="es-ES"/>
        </w:rPr>
        <w:t>Efectivo y otros activos líquidos:</w:t>
      </w:r>
    </w:p>
    <w:p w14:paraId="0377E603"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29BFA97A"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8E3E27">
        <w:rPr>
          <w:rFonts w:eastAsia="Batang" w:cs="Times New Roman"/>
          <w:szCs w:val="24"/>
          <w:lang w:val="es-ES_tradnl" w:eastAsia="es-ES"/>
        </w:rPr>
        <w:t>El detalle al cierre del ejercicio es el siguiente:</w:t>
      </w:r>
    </w:p>
    <w:p w14:paraId="38D5837D"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tbl>
      <w:tblPr>
        <w:tblW w:w="6383" w:type="dxa"/>
        <w:tblInd w:w="2170" w:type="dxa"/>
        <w:tblLayout w:type="fixed"/>
        <w:tblCellMar>
          <w:left w:w="70" w:type="dxa"/>
          <w:right w:w="70" w:type="dxa"/>
        </w:tblCellMar>
        <w:tblLook w:val="0000" w:firstRow="0" w:lastRow="0" w:firstColumn="0" w:lastColumn="0" w:noHBand="0" w:noVBand="0"/>
      </w:tblPr>
      <w:tblGrid>
        <w:gridCol w:w="4412"/>
        <w:gridCol w:w="1971"/>
      </w:tblGrid>
      <w:tr w:rsidR="008E3E27" w:rsidRPr="00A65351" w14:paraId="75208D76" w14:textId="77777777" w:rsidTr="00684BF7">
        <w:trPr>
          <w:trHeight w:val="280"/>
        </w:trPr>
        <w:tc>
          <w:tcPr>
            <w:tcW w:w="4412" w:type="dxa"/>
            <w:tcBorders>
              <w:top w:val="nil"/>
              <w:left w:val="nil"/>
              <w:bottom w:val="single" w:sz="4" w:space="0" w:color="auto"/>
              <w:right w:val="nil"/>
            </w:tcBorders>
            <w:shd w:val="clear" w:color="auto" w:fill="auto"/>
          </w:tcPr>
          <w:p w14:paraId="722227E7" w14:textId="77777777" w:rsidR="008E3E27" w:rsidRPr="008E3E27" w:rsidRDefault="008E3E27" w:rsidP="008E3E27">
            <w:pPr>
              <w:spacing w:after="0" w:line="240" w:lineRule="auto"/>
              <w:rPr>
                <w:rFonts w:eastAsia="Times New Roman" w:cs="Times New Roman"/>
                <w:szCs w:val="24"/>
                <w:lang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361AC6D" w14:textId="77777777" w:rsidR="008E3E27" w:rsidRPr="00A65351" w:rsidRDefault="008E3E27" w:rsidP="008E3E27">
            <w:pPr>
              <w:spacing w:after="0" w:line="240" w:lineRule="auto"/>
              <w:jc w:val="center"/>
              <w:rPr>
                <w:rFonts w:eastAsia="Times New Roman" w:cs="Times New Roman"/>
                <w:szCs w:val="24"/>
                <w:lang w:eastAsia="es-ES"/>
              </w:rPr>
            </w:pPr>
            <w:r w:rsidRPr="00A65351">
              <w:rPr>
                <w:rFonts w:eastAsia="Times New Roman" w:cs="Times New Roman"/>
                <w:szCs w:val="24"/>
                <w:lang w:eastAsia="es-ES"/>
              </w:rPr>
              <w:t>Euros</w:t>
            </w:r>
          </w:p>
        </w:tc>
      </w:tr>
      <w:tr w:rsidR="008E3E27" w:rsidRPr="004E1AC6" w14:paraId="0BD88380" w14:textId="77777777" w:rsidTr="00684BF7">
        <w:trPr>
          <w:trHeight w:val="280"/>
        </w:trPr>
        <w:tc>
          <w:tcPr>
            <w:tcW w:w="4412" w:type="dxa"/>
            <w:tcBorders>
              <w:top w:val="single" w:sz="4" w:space="0" w:color="auto"/>
              <w:left w:val="single" w:sz="4" w:space="0" w:color="auto"/>
              <w:bottom w:val="single" w:sz="4" w:space="0" w:color="auto"/>
              <w:right w:val="single" w:sz="4" w:space="0" w:color="auto"/>
            </w:tcBorders>
            <w:shd w:val="clear" w:color="auto" w:fill="auto"/>
            <w:vAlign w:val="center"/>
          </w:tcPr>
          <w:p w14:paraId="7CDFED16" w14:textId="77777777" w:rsidR="008E3E27" w:rsidRPr="00A65351" w:rsidRDefault="008E3E27" w:rsidP="008E3E27">
            <w:pPr>
              <w:spacing w:after="0" w:line="240" w:lineRule="auto"/>
              <w:rPr>
                <w:rFonts w:eastAsia="Times New Roman" w:cs="Times New Roman"/>
                <w:szCs w:val="24"/>
                <w:lang w:eastAsia="es-ES"/>
              </w:rPr>
            </w:pPr>
            <w:r w:rsidRPr="00A65351">
              <w:rPr>
                <w:rFonts w:eastAsia="Times New Roman" w:cs="Times New Roman"/>
                <w:szCs w:val="24"/>
                <w:lang w:eastAsia="es-ES"/>
              </w:rPr>
              <w:t>Tesorería</w:t>
            </w: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59763B2" w14:textId="710C85F0" w:rsidR="008E3E27" w:rsidRPr="008B7975" w:rsidRDefault="00684BF7" w:rsidP="008E3E27">
            <w:pPr>
              <w:spacing w:after="0" w:line="240" w:lineRule="auto"/>
              <w:jc w:val="right"/>
              <w:rPr>
                <w:rFonts w:eastAsia="Times New Roman" w:cs="Times New Roman"/>
                <w:szCs w:val="24"/>
                <w:highlight w:val="yellow"/>
                <w:lang w:eastAsia="es-ES"/>
              </w:rPr>
            </w:pPr>
            <w:r>
              <w:rPr>
                <w:rFonts w:eastAsia="Batang" w:cs="Times New Roman"/>
                <w:szCs w:val="24"/>
                <w:lang w:val="es-ES_tradnl" w:eastAsia="es-ES"/>
              </w:rPr>
              <w:t>31.377.106,73</w:t>
            </w:r>
            <w:r w:rsidR="00A65351" w:rsidRPr="006A1B3B">
              <w:rPr>
                <w:rFonts w:eastAsia="Batang" w:cs="Times New Roman"/>
                <w:szCs w:val="24"/>
                <w:lang w:val="es-ES_tradnl" w:eastAsia="es-ES"/>
              </w:rPr>
              <w:t xml:space="preserve"> </w:t>
            </w:r>
          </w:p>
        </w:tc>
      </w:tr>
    </w:tbl>
    <w:p w14:paraId="0C398531" w14:textId="77777777"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p>
    <w:p w14:paraId="15B76B6A" w14:textId="011DCE04" w:rsidR="008E3E27" w:rsidRPr="008E3E27" w:rsidRDefault="008E3E27" w:rsidP="008E3E27">
      <w:pPr>
        <w:overflowPunct w:val="0"/>
        <w:autoSpaceDE w:val="0"/>
        <w:autoSpaceDN w:val="0"/>
        <w:adjustRightInd w:val="0"/>
        <w:spacing w:after="0" w:line="240" w:lineRule="auto"/>
        <w:ind w:left="1418"/>
        <w:jc w:val="both"/>
        <w:textAlignment w:val="baseline"/>
        <w:rPr>
          <w:rFonts w:eastAsia="Batang" w:cs="Times New Roman"/>
          <w:szCs w:val="24"/>
          <w:lang w:val="es-ES_tradnl" w:eastAsia="es-ES"/>
        </w:rPr>
      </w:pPr>
      <w:r w:rsidRPr="00A65351">
        <w:rPr>
          <w:rFonts w:eastAsia="Batang" w:cs="Times New Roman"/>
          <w:szCs w:val="24"/>
          <w:lang w:val="es-ES_tradnl" w:eastAsia="es-ES"/>
        </w:rPr>
        <w:t>El saldo de este epígrafe a 31.12.201</w:t>
      </w:r>
      <w:r w:rsidR="00684BF7">
        <w:rPr>
          <w:rFonts w:eastAsia="Batang" w:cs="Times New Roman"/>
          <w:szCs w:val="24"/>
          <w:lang w:val="es-ES_tradnl" w:eastAsia="es-ES"/>
        </w:rPr>
        <w:t>9</w:t>
      </w:r>
      <w:r w:rsidRPr="00A65351">
        <w:rPr>
          <w:rFonts w:eastAsia="Batang" w:cs="Times New Roman"/>
          <w:szCs w:val="24"/>
          <w:lang w:val="es-ES_tradnl" w:eastAsia="es-ES"/>
        </w:rPr>
        <w:t xml:space="preserve"> ascendía a </w:t>
      </w:r>
      <w:r w:rsidR="00684BF7">
        <w:rPr>
          <w:rFonts w:eastAsia="Batang" w:cs="Times New Roman"/>
          <w:szCs w:val="24"/>
          <w:lang w:val="es-ES_tradnl" w:eastAsia="es-ES"/>
        </w:rPr>
        <w:t>346.223,86</w:t>
      </w:r>
      <w:r w:rsidRPr="00A65351">
        <w:rPr>
          <w:rFonts w:eastAsia="Batang" w:cs="Times New Roman"/>
          <w:szCs w:val="24"/>
          <w:lang w:val="es-ES_tradnl" w:eastAsia="es-ES"/>
        </w:rPr>
        <w:t xml:space="preserve"> euros, de Tesorería.</w:t>
      </w:r>
    </w:p>
    <w:p w14:paraId="7F95C9F1" w14:textId="77777777" w:rsidR="00F90F97" w:rsidRPr="00792930" w:rsidRDefault="00F90F97" w:rsidP="00BF49B9">
      <w:pPr>
        <w:spacing w:after="0" w:line="240" w:lineRule="auto"/>
        <w:rPr>
          <w:lang w:val="es-ES_tradnl"/>
        </w:rPr>
      </w:pPr>
    </w:p>
    <w:p w14:paraId="30712634" w14:textId="77777777" w:rsidR="008E3E27" w:rsidRPr="008E3E27" w:rsidRDefault="008E3E27" w:rsidP="002422D5">
      <w:pPr>
        <w:numPr>
          <w:ilvl w:val="1"/>
          <w:numId w:val="1"/>
        </w:numPr>
        <w:overflowPunct w:val="0"/>
        <w:autoSpaceDE w:val="0"/>
        <w:autoSpaceDN w:val="0"/>
        <w:adjustRightInd w:val="0"/>
        <w:spacing w:after="0" w:line="240" w:lineRule="auto"/>
        <w:ind w:right="1025" w:hanging="225"/>
        <w:textAlignment w:val="baseline"/>
        <w:outlineLvl w:val="0"/>
        <w:rPr>
          <w:rFonts w:eastAsia="Batang" w:cs="Times New Roman"/>
          <w:b/>
          <w:i/>
          <w:szCs w:val="24"/>
          <w:lang w:val="es-ES_tradnl" w:eastAsia="es-ES"/>
        </w:rPr>
      </w:pPr>
      <w:r w:rsidRPr="008E3E27">
        <w:rPr>
          <w:rFonts w:eastAsia="Batang" w:cs="Times New Roman"/>
          <w:b/>
          <w:i/>
          <w:szCs w:val="24"/>
          <w:lang w:val="es-ES_tradnl" w:eastAsia="es-ES"/>
        </w:rPr>
        <w:t>Pasivos financieros a corto plazo</w:t>
      </w:r>
    </w:p>
    <w:p w14:paraId="7FD35D72"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6AB4E655" w14:textId="7E2E0F51"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132539">
        <w:rPr>
          <w:rFonts w:eastAsia="Batang" w:cs="Times New Roman"/>
          <w:szCs w:val="24"/>
          <w:lang w:val="es-ES_tradnl" w:eastAsia="es-ES"/>
        </w:rPr>
        <w:t xml:space="preserve">En la partida de deudas con empresas del grupo y asociadas a corto plazo, se recoge </w:t>
      </w:r>
      <w:r w:rsidR="00407E4D" w:rsidRPr="00132539">
        <w:rPr>
          <w:rFonts w:eastAsia="Batang" w:cs="Times New Roman"/>
          <w:szCs w:val="24"/>
          <w:lang w:val="es-ES_tradnl" w:eastAsia="es-ES"/>
        </w:rPr>
        <w:t>un</w:t>
      </w:r>
      <w:r w:rsidRPr="00132539">
        <w:rPr>
          <w:rFonts w:eastAsia="Batang" w:cs="Times New Roman"/>
          <w:szCs w:val="24"/>
          <w:lang w:val="es-ES_tradnl" w:eastAsia="es-ES"/>
        </w:rPr>
        <w:t xml:space="preserve"> importe </w:t>
      </w:r>
      <w:r w:rsidR="00407E4D" w:rsidRPr="00132539">
        <w:rPr>
          <w:rFonts w:eastAsia="Batang" w:cs="Times New Roman"/>
          <w:szCs w:val="24"/>
          <w:lang w:val="es-ES_tradnl" w:eastAsia="es-ES"/>
        </w:rPr>
        <w:t xml:space="preserve">total </w:t>
      </w:r>
      <w:r w:rsidRPr="00A43B1E">
        <w:rPr>
          <w:rFonts w:eastAsia="Batang" w:cs="Times New Roman"/>
          <w:szCs w:val="24"/>
          <w:lang w:val="es-ES_tradnl" w:eastAsia="es-ES"/>
        </w:rPr>
        <w:t>de</w:t>
      </w:r>
      <w:r w:rsidR="00407E4D" w:rsidRPr="00A43B1E">
        <w:rPr>
          <w:rFonts w:eastAsia="Batang" w:cs="Times New Roman"/>
          <w:szCs w:val="24"/>
          <w:lang w:val="es-ES_tradnl" w:eastAsia="es-ES"/>
        </w:rPr>
        <w:t xml:space="preserve"> </w:t>
      </w:r>
      <w:r w:rsidR="00CF69C3">
        <w:rPr>
          <w:rFonts w:eastAsia="Batang" w:cs="Times New Roman"/>
          <w:szCs w:val="24"/>
          <w:lang w:val="es-ES_tradnl" w:eastAsia="es-ES"/>
        </w:rPr>
        <w:t>3.918.059,11</w:t>
      </w:r>
      <w:r w:rsidR="00407E4D" w:rsidRPr="0002050A">
        <w:rPr>
          <w:rFonts w:eastAsia="Batang" w:cs="Times New Roman"/>
          <w:szCs w:val="24"/>
          <w:lang w:val="es-ES_tradnl" w:eastAsia="es-ES"/>
        </w:rPr>
        <w:t xml:space="preserve"> euros</w:t>
      </w:r>
      <w:r w:rsidR="00D67AF6">
        <w:rPr>
          <w:rFonts w:eastAsia="Batang" w:cs="Times New Roman"/>
          <w:szCs w:val="24"/>
          <w:lang w:val="es-ES_tradnl" w:eastAsia="es-ES"/>
        </w:rPr>
        <w:t xml:space="preserve"> (</w:t>
      </w:r>
      <w:r w:rsidR="00CF69C3">
        <w:rPr>
          <w:rFonts w:eastAsia="Batang" w:cs="Times New Roman"/>
          <w:szCs w:val="24"/>
          <w:lang w:val="es-ES_tradnl" w:eastAsia="es-ES"/>
        </w:rPr>
        <w:t>4.199.432,14</w:t>
      </w:r>
      <w:r w:rsidR="00D67AF6">
        <w:rPr>
          <w:rFonts w:eastAsia="Batang" w:cs="Times New Roman"/>
          <w:szCs w:val="24"/>
          <w:lang w:val="es-ES_tradnl" w:eastAsia="es-ES"/>
        </w:rPr>
        <w:t xml:space="preserve"> euros en 201</w:t>
      </w:r>
      <w:r w:rsidR="00CF69C3">
        <w:rPr>
          <w:rFonts w:eastAsia="Batang" w:cs="Times New Roman"/>
          <w:szCs w:val="24"/>
          <w:lang w:val="es-ES_tradnl" w:eastAsia="es-ES"/>
        </w:rPr>
        <w:t>9</w:t>
      </w:r>
      <w:r w:rsidR="00D67AF6">
        <w:rPr>
          <w:rFonts w:eastAsia="Batang" w:cs="Times New Roman"/>
          <w:szCs w:val="24"/>
          <w:lang w:val="es-ES_tradnl" w:eastAsia="es-ES"/>
        </w:rPr>
        <w:t>)</w:t>
      </w:r>
      <w:r w:rsidR="00407E4D" w:rsidRPr="00132539">
        <w:rPr>
          <w:rFonts w:eastAsia="Batang" w:cs="Times New Roman"/>
          <w:szCs w:val="24"/>
          <w:lang w:val="es-ES_tradnl" w:eastAsia="es-ES"/>
        </w:rPr>
        <w:t xml:space="preserve">, de los cuales </w:t>
      </w:r>
      <w:r w:rsidR="00A52272">
        <w:rPr>
          <w:rFonts w:eastAsia="Batang" w:cs="Times New Roman"/>
          <w:szCs w:val="24"/>
          <w:lang w:val="es-ES_tradnl" w:eastAsia="es-ES"/>
        </w:rPr>
        <w:t>1.072.297,24</w:t>
      </w:r>
      <w:r w:rsidRPr="002769D2">
        <w:rPr>
          <w:rFonts w:eastAsia="Batang" w:cs="Times New Roman"/>
          <w:szCs w:val="24"/>
          <w:lang w:val="es-ES_tradnl" w:eastAsia="es-ES"/>
        </w:rPr>
        <w:t xml:space="preserve"> euros</w:t>
      </w:r>
      <w:r w:rsidRPr="00132539">
        <w:rPr>
          <w:rFonts w:eastAsia="Batang" w:cs="Times New Roman"/>
          <w:szCs w:val="24"/>
          <w:lang w:val="es-ES_tradnl" w:eastAsia="es-ES"/>
        </w:rPr>
        <w:t>, correspond</w:t>
      </w:r>
      <w:r w:rsidR="00407E4D" w:rsidRPr="00132539">
        <w:rPr>
          <w:rFonts w:eastAsia="Batang" w:cs="Times New Roman"/>
          <w:szCs w:val="24"/>
          <w:lang w:val="es-ES_tradnl" w:eastAsia="es-ES"/>
        </w:rPr>
        <w:t>en</w:t>
      </w:r>
      <w:r w:rsidRPr="00132539">
        <w:rPr>
          <w:rFonts w:eastAsia="Batang" w:cs="Times New Roman"/>
          <w:szCs w:val="24"/>
          <w:lang w:val="es-ES_tradnl" w:eastAsia="es-ES"/>
        </w:rPr>
        <w:t xml:space="preserve"> a la recompra de crédito fiscal a SEPI</w:t>
      </w:r>
      <w:r w:rsidR="00CE4ECE" w:rsidRPr="00132539">
        <w:rPr>
          <w:rFonts w:eastAsia="Batang" w:cs="Times New Roman"/>
          <w:szCs w:val="24"/>
          <w:lang w:val="es-ES_tradnl" w:eastAsia="es-ES"/>
        </w:rPr>
        <w:t xml:space="preserve"> </w:t>
      </w:r>
      <w:r w:rsidR="00D67AF6">
        <w:rPr>
          <w:rFonts w:eastAsia="Batang" w:cs="Times New Roman"/>
          <w:szCs w:val="24"/>
          <w:lang w:val="es-ES_tradnl" w:eastAsia="es-ES"/>
        </w:rPr>
        <w:t>(1.</w:t>
      </w:r>
      <w:r w:rsidR="00436AE4">
        <w:rPr>
          <w:rFonts w:eastAsia="Batang" w:cs="Times New Roman"/>
          <w:szCs w:val="24"/>
          <w:lang w:val="es-ES_tradnl" w:eastAsia="es-ES"/>
        </w:rPr>
        <w:t>243.305,67</w:t>
      </w:r>
      <w:r w:rsidR="00D67AF6">
        <w:rPr>
          <w:rFonts w:eastAsia="Batang" w:cs="Times New Roman"/>
          <w:szCs w:val="24"/>
          <w:lang w:val="es-ES_tradnl" w:eastAsia="es-ES"/>
        </w:rPr>
        <w:t xml:space="preserve"> euros en 201</w:t>
      </w:r>
      <w:r w:rsidR="00436AE4">
        <w:rPr>
          <w:rFonts w:eastAsia="Batang" w:cs="Times New Roman"/>
          <w:szCs w:val="24"/>
          <w:lang w:val="es-ES_tradnl" w:eastAsia="es-ES"/>
        </w:rPr>
        <w:t>9</w:t>
      </w:r>
      <w:r w:rsidR="00D67AF6">
        <w:rPr>
          <w:rFonts w:eastAsia="Batang" w:cs="Times New Roman"/>
          <w:szCs w:val="24"/>
          <w:lang w:val="es-ES_tradnl" w:eastAsia="es-ES"/>
        </w:rPr>
        <w:t xml:space="preserve">) </w:t>
      </w:r>
      <w:r w:rsidR="00407E4D" w:rsidRPr="00132539">
        <w:rPr>
          <w:rFonts w:eastAsia="Batang" w:cs="Times New Roman"/>
          <w:szCs w:val="24"/>
          <w:lang w:val="es-ES_tradnl" w:eastAsia="es-ES"/>
        </w:rPr>
        <w:t xml:space="preserve">y </w:t>
      </w:r>
      <w:r w:rsidR="00A52272">
        <w:rPr>
          <w:rFonts w:eastAsia="Batang" w:cs="Times New Roman"/>
          <w:szCs w:val="24"/>
          <w:lang w:val="es-ES_tradnl" w:eastAsia="es-ES"/>
        </w:rPr>
        <w:t>2.845.761,87</w:t>
      </w:r>
      <w:r w:rsidR="00327105" w:rsidRPr="002769D2">
        <w:rPr>
          <w:rFonts w:eastAsia="Batang" w:cs="Times New Roman"/>
          <w:szCs w:val="24"/>
          <w:lang w:val="es-ES_tradnl" w:eastAsia="es-ES"/>
        </w:rPr>
        <w:t xml:space="preserve"> </w:t>
      </w:r>
      <w:r w:rsidR="00407E4D" w:rsidRPr="002769D2">
        <w:rPr>
          <w:rFonts w:eastAsia="Batang" w:cs="Times New Roman"/>
          <w:szCs w:val="24"/>
          <w:lang w:val="es-ES_tradnl" w:eastAsia="es-ES"/>
        </w:rPr>
        <w:t>euros</w:t>
      </w:r>
      <w:r w:rsidR="00407E4D" w:rsidRPr="00132539">
        <w:rPr>
          <w:rFonts w:eastAsia="Batang" w:cs="Times New Roman"/>
          <w:szCs w:val="24"/>
          <w:lang w:val="es-ES_tradnl" w:eastAsia="es-ES"/>
        </w:rPr>
        <w:t xml:space="preserve"> a la cuota positiva en concepto de Impuesto de Sociedades a pagar a SEPI (matriz del grupo fiscal)</w:t>
      </w:r>
      <w:r w:rsidR="00A52272">
        <w:rPr>
          <w:rFonts w:eastAsia="Batang" w:cs="Times New Roman"/>
          <w:szCs w:val="24"/>
          <w:lang w:val="es-ES_tradnl" w:eastAsia="es-ES"/>
        </w:rPr>
        <w:t xml:space="preserve"> (2.956.126,47</w:t>
      </w:r>
      <w:r w:rsidR="004E1AC6">
        <w:rPr>
          <w:rFonts w:eastAsia="Batang" w:cs="Times New Roman"/>
          <w:szCs w:val="24"/>
          <w:lang w:val="es-ES_tradnl" w:eastAsia="es-ES"/>
        </w:rPr>
        <w:t xml:space="preserve"> </w:t>
      </w:r>
      <w:r w:rsidR="00D67AF6">
        <w:rPr>
          <w:rFonts w:eastAsia="Batang" w:cs="Times New Roman"/>
          <w:szCs w:val="24"/>
          <w:lang w:val="es-ES_tradnl" w:eastAsia="es-ES"/>
        </w:rPr>
        <w:t>euros en 201</w:t>
      </w:r>
      <w:r w:rsidR="00A52272">
        <w:rPr>
          <w:rFonts w:eastAsia="Batang" w:cs="Times New Roman"/>
          <w:szCs w:val="24"/>
          <w:lang w:val="es-ES_tradnl" w:eastAsia="es-ES"/>
        </w:rPr>
        <w:t>9</w:t>
      </w:r>
      <w:r w:rsidR="00D67AF6">
        <w:rPr>
          <w:rFonts w:eastAsia="Batang" w:cs="Times New Roman"/>
          <w:szCs w:val="24"/>
          <w:lang w:val="es-ES_tradnl" w:eastAsia="es-ES"/>
        </w:rPr>
        <w:t>)</w:t>
      </w:r>
      <w:r w:rsidR="00407E4D" w:rsidRPr="00132539">
        <w:rPr>
          <w:rFonts w:eastAsia="Batang" w:cs="Times New Roman"/>
          <w:szCs w:val="24"/>
          <w:lang w:val="es-ES_tradnl" w:eastAsia="es-ES"/>
        </w:rPr>
        <w:t xml:space="preserve"> (véase Nota</w:t>
      </w:r>
      <w:r w:rsidR="00D67AF6">
        <w:rPr>
          <w:rFonts w:eastAsia="Batang" w:cs="Times New Roman"/>
          <w:szCs w:val="24"/>
          <w:lang w:val="es-ES_tradnl" w:eastAsia="es-ES"/>
        </w:rPr>
        <w:t>s 7y</w:t>
      </w:r>
      <w:r w:rsidR="00407E4D" w:rsidRPr="00132539">
        <w:rPr>
          <w:rFonts w:eastAsia="Batang" w:cs="Times New Roman"/>
          <w:szCs w:val="24"/>
          <w:lang w:val="es-ES_tradnl" w:eastAsia="es-ES"/>
        </w:rPr>
        <w:t xml:space="preserve"> 10).</w:t>
      </w:r>
    </w:p>
    <w:p w14:paraId="38F537E6" w14:textId="77777777" w:rsidR="006B3D7F" w:rsidRDefault="006B3D7F"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26E5769" w14:textId="77777777" w:rsidR="00D67AF6" w:rsidRDefault="00D67AF6"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4E1C1D5A" w14:textId="77777777" w:rsidR="008E3E27" w:rsidRPr="008E3E27" w:rsidRDefault="008E3E27" w:rsidP="008E3E27">
      <w:pPr>
        <w:numPr>
          <w:ilvl w:val="1"/>
          <w:numId w:val="1"/>
        </w:numPr>
        <w:overflowPunct w:val="0"/>
        <w:autoSpaceDE w:val="0"/>
        <w:autoSpaceDN w:val="0"/>
        <w:adjustRightInd w:val="0"/>
        <w:spacing w:after="0" w:line="240" w:lineRule="auto"/>
        <w:ind w:right="1025" w:hanging="225"/>
        <w:textAlignment w:val="baseline"/>
        <w:outlineLvl w:val="0"/>
        <w:rPr>
          <w:rFonts w:eastAsia="Batang" w:cs="Times New Roman"/>
          <w:b/>
          <w:i/>
          <w:szCs w:val="24"/>
          <w:lang w:val="es-ES_tradnl" w:eastAsia="es-ES"/>
        </w:rPr>
      </w:pPr>
      <w:r w:rsidRPr="008E3E27">
        <w:rPr>
          <w:rFonts w:eastAsia="Batang" w:cs="Times New Roman"/>
          <w:b/>
          <w:i/>
          <w:szCs w:val="24"/>
          <w:lang w:val="es-ES_tradnl" w:eastAsia="es-ES"/>
        </w:rPr>
        <w:t>Fondos Propios</w:t>
      </w:r>
    </w:p>
    <w:p w14:paraId="279EE71B" w14:textId="77777777" w:rsidR="008E3E27" w:rsidRPr="008E3E27" w:rsidRDefault="008E3E27" w:rsidP="008E3E27">
      <w:pPr>
        <w:tabs>
          <w:tab w:val="left" w:pos="0"/>
        </w:tabs>
        <w:overflowPunct w:val="0"/>
        <w:autoSpaceDE w:val="0"/>
        <w:autoSpaceDN w:val="0"/>
        <w:adjustRightInd w:val="0"/>
        <w:spacing w:after="0" w:line="240" w:lineRule="auto"/>
        <w:jc w:val="both"/>
        <w:textAlignment w:val="baseline"/>
        <w:rPr>
          <w:rFonts w:eastAsia="Batang" w:cs="Times New Roman"/>
          <w:szCs w:val="24"/>
          <w:lang w:val="es-ES_tradnl" w:eastAsia="es-ES"/>
        </w:rPr>
      </w:pPr>
    </w:p>
    <w:p w14:paraId="1614AF62" w14:textId="77777777" w:rsidR="008E3E27" w:rsidRPr="008E3E27" w:rsidRDefault="008E3E27" w:rsidP="008E3E27">
      <w:pPr>
        <w:keepNext/>
        <w:numPr>
          <w:ilvl w:val="0"/>
          <w:numId w:val="9"/>
        </w:numPr>
        <w:tabs>
          <w:tab w:val="num" w:pos="1134"/>
        </w:tabs>
        <w:spacing w:after="0" w:line="240" w:lineRule="auto"/>
        <w:ind w:left="1134" w:right="-63" w:hanging="567"/>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Capital social</w:t>
      </w:r>
    </w:p>
    <w:p w14:paraId="3298FB66" w14:textId="77777777" w:rsidR="008E3E27" w:rsidRPr="008E3E27" w:rsidRDefault="008E3E27" w:rsidP="008E3E27">
      <w:pPr>
        <w:overflowPunct w:val="0"/>
        <w:autoSpaceDE w:val="0"/>
        <w:autoSpaceDN w:val="0"/>
        <w:adjustRightInd w:val="0"/>
        <w:spacing w:after="0" w:line="240" w:lineRule="auto"/>
        <w:jc w:val="both"/>
        <w:textAlignment w:val="baseline"/>
        <w:rPr>
          <w:rFonts w:eastAsia="Batang" w:cs="Times New Roman"/>
          <w:b/>
          <w:szCs w:val="24"/>
          <w:lang w:val="es-ES_tradnl" w:eastAsia="es-ES"/>
        </w:rPr>
      </w:pPr>
    </w:p>
    <w:p w14:paraId="31F145C2" w14:textId="07681E65" w:rsidR="008E3E27" w:rsidRPr="008E3E27" w:rsidRDefault="00B256F3" w:rsidP="008E3E27">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r>
        <w:rPr>
          <w:rFonts w:eastAsia="Batang" w:cs="Times New Roman"/>
          <w:szCs w:val="24"/>
          <w:lang w:val="es-ES_tradnl" w:eastAsia="es-ES"/>
        </w:rPr>
        <w:t>Al 31 de diciembre de 2020</w:t>
      </w:r>
      <w:r w:rsidR="008E3E27" w:rsidRPr="008E3E27">
        <w:rPr>
          <w:rFonts w:eastAsia="Batang" w:cs="Times New Roman"/>
          <w:szCs w:val="24"/>
          <w:lang w:val="es-ES_tradnl" w:eastAsia="es-ES"/>
        </w:rPr>
        <w:t xml:space="preserve">, </w:t>
      </w:r>
      <w:r w:rsidR="008E3E27" w:rsidRPr="003F61F5">
        <w:rPr>
          <w:rFonts w:eastAsia="Batang" w:cs="Times New Roman"/>
          <w:szCs w:val="24"/>
          <w:lang w:val="es-ES_tradnl" w:eastAsia="es-ES"/>
        </w:rPr>
        <w:t>el capital social asciende a 135.207.250</w:t>
      </w:r>
      <w:r w:rsidR="008E3E27" w:rsidRPr="008E3E27">
        <w:rPr>
          <w:rFonts w:eastAsia="Batang" w:cs="Times New Roman"/>
          <w:szCs w:val="24"/>
          <w:lang w:val="es-ES_tradnl" w:eastAsia="es-ES"/>
        </w:rPr>
        <w:t xml:space="preserve"> euros, representado por 43.475.000 acciones nominativas de 3,11 euros de valor nominal cada una de ellas. El capital social se encuentra totalmente suscrito y desembolsado y todas las acciones gozan de iguales derechos políticos y económicos. </w:t>
      </w:r>
    </w:p>
    <w:p w14:paraId="100DE4D1" w14:textId="77777777" w:rsidR="008E3E27" w:rsidRDefault="008E3E27" w:rsidP="008E3E27">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p>
    <w:p w14:paraId="7D52FC39" w14:textId="6CC6774A" w:rsidR="009B726B" w:rsidRDefault="008E3E27" w:rsidP="008E3E27">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r w:rsidRPr="008E3E27">
        <w:rPr>
          <w:rFonts w:eastAsia="Batang" w:cs="Times New Roman"/>
          <w:szCs w:val="24"/>
          <w:lang w:val="es-ES_tradnl" w:eastAsia="es-ES"/>
        </w:rPr>
        <w:t>La composición del accionariado de la So</w:t>
      </w:r>
      <w:r w:rsidR="00B256F3">
        <w:rPr>
          <w:rFonts w:eastAsia="Batang" w:cs="Times New Roman"/>
          <w:szCs w:val="24"/>
          <w:lang w:val="es-ES_tradnl" w:eastAsia="es-ES"/>
        </w:rPr>
        <w:t>ciedad al 31 de diciembre de 2020</w:t>
      </w:r>
      <w:r w:rsidR="004E1AC6">
        <w:rPr>
          <w:rFonts w:eastAsia="Batang" w:cs="Times New Roman"/>
          <w:szCs w:val="24"/>
          <w:lang w:val="es-ES_tradnl" w:eastAsia="es-ES"/>
        </w:rPr>
        <w:t xml:space="preserve"> </w:t>
      </w:r>
      <w:r w:rsidRPr="008E3E27">
        <w:rPr>
          <w:rFonts w:eastAsia="Batang" w:cs="Times New Roman"/>
          <w:szCs w:val="24"/>
          <w:lang w:val="es-ES_tradnl" w:eastAsia="es-ES"/>
        </w:rPr>
        <w:t>y 201</w:t>
      </w:r>
      <w:r w:rsidR="00B256F3">
        <w:rPr>
          <w:rFonts w:eastAsia="Batang" w:cs="Times New Roman"/>
          <w:szCs w:val="24"/>
          <w:lang w:val="es-ES_tradnl" w:eastAsia="es-ES"/>
        </w:rPr>
        <w:t>9</w:t>
      </w:r>
      <w:r w:rsidRPr="008E3E27">
        <w:rPr>
          <w:rFonts w:eastAsia="Batang" w:cs="Times New Roman"/>
          <w:szCs w:val="24"/>
          <w:lang w:val="es-ES_tradnl" w:eastAsia="es-ES"/>
        </w:rPr>
        <w:t xml:space="preserve"> es la siguiente:</w:t>
      </w:r>
    </w:p>
    <w:tbl>
      <w:tblPr>
        <w:tblW w:w="5680" w:type="dxa"/>
        <w:tblInd w:w="1688" w:type="dxa"/>
        <w:tblCellMar>
          <w:left w:w="70" w:type="dxa"/>
          <w:right w:w="70" w:type="dxa"/>
        </w:tblCellMar>
        <w:tblLook w:val="0000" w:firstRow="0" w:lastRow="0" w:firstColumn="0" w:lastColumn="0" w:noHBand="0" w:noVBand="0"/>
      </w:tblPr>
      <w:tblGrid>
        <w:gridCol w:w="4180"/>
        <w:gridCol w:w="1500"/>
      </w:tblGrid>
      <w:tr w:rsidR="008E3E27" w:rsidRPr="008E3E27" w14:paraId="068FD132" w14:textId="77777777" w:rsidTr="009C0E6E">
        <w:trPr>
          <w:trHeight w:val="255"/>
        </w:trPr>
        <w:tc>
          <w:tcPr>
            <w:tcW w:w="4180" w:type="dxa"/>
            <w:tcBorders>
              <w:top w:val="nil"/>
              <w:left w:val="nil"/>
              <w:bottom w:val="nil"/>
              <w:right w:val="nil"/>
            </w:tcBorders>
            <w:shd w:val="clear" w:color="auto" w:fill="auto"/>
          </w:tcPr>
          <w:p w14:paraId="4FD8A8E0" w14:textId="77777777" w:rsidR="008E3E27" w:rsidRDefault="008E3E27" w:rsidP="008E3E27">
            <w:pPr>
              <w:spacing w:after="0" w:line="240" w:lineRule="auto"/>
              <w:rPr>
                <w:rFonts w:eastAsia="Times New Roman" w:cs="Times New Roman"/>
                <w:szCs w:val="24"/>
                <w:lang w:eastAsia="es-ES"/>
              </w:rPr>
            </w:pPr>
          </w:p>
          <w:p w14:paraId="45D386FF" w14:textId="77777777" w:rsidR="009B726B" w:rsidRPr="008E3E27" w:rsidRDefault="009B726B" w:rsidP="008E3E27">
            <w:pPr>
              <w:spacing w:after="0" w:line="240" w:lineRule="auto"/>
              <w:rPr>
                <w:rFonts w:eastAsia="Times New Roman" w:cs="Times New Roman"/>
                <w:szCs w:val="24"/>
                <w:lang w:eastAsia="es-E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EEEB482"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 participación</w:t>
            </w:r>
          </w:p>
        </w:tc>
      </w:tr>
      <w:tr w:rsidR="008E3E27" w:rsidRPr="008E3E27" w14:paraId="3A910239" w14:textId="77777777" w:rsidTr="009C0E6E">
        <w:trPr>
          <w:trHeight w:val="255"/>
        </w:trPr>
        <w:tc>
          <w:tcPr>
            <w:tcW w:w="4180" w:type="dxa"/>
            <w:tcBorders>
              <w:top w:val="single" w:sz="4" w:space="0" w:color="auto"/>
              <w:left w:val="single" w:sz="4" w:space="0" w:color="auto"/>
              <w:bottom w:val="nil"/>
              <w:right w:val="single" w:sz="4" w:space="0" w:color="auto"/>
            </w:tcBorders>
            <w:shd w:val="clear" w:color="auto" w:fill="auto"/>
            <w:noWrap/>
            <w:vAlign w:val="bottom"/>
          </w:tcPr>
          <w:p w14:paraId="56592934"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Sociedad Estatal de Participaciones Industriales</w:t>
            </w:r>
          </w:p>
        </w:tc>
        <w:tc>
          <w:tcPr>
            <w:tcW w:w="1500" w:type="dxa"/>
            <w:tcBorders>
              <w:top w:val="nil"/>
              <w:left w:val="nil"/>
              <w:bottom w:val="nil"/>
              <w:right w:val="single" w:sz="4" w:space="0" w:color="auto"/>
            </w:tcBorders>
            <w:shd w:val="clear" w:color="auto" w:fill="auto"/>
            <w:noWrap/>
            <w:vAlign w:val="bottom"/>
          </w:tcPr>
          <w:p w14:paraId="358E9904"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91,9625%</w:t>
            </w:r>
          </w:p>
        </w:tc>
      </w:tr>
      <w:tr w:rsidR="008E3E27" w:rsidRPr="008E3E27" w14:paraId="18289CA5" w14:textId="77777777" w:rsidTr="009C0E6E">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680F2164"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 xml:space="preserve">Fondo Español de Garantía Agraria </w:t>
            </w:r>
          </w:p>
        </w:tc>
        <w:tc>
          <w:tcPr>
            <w:tcW w:w="1500" w:type="dxa"/>
            <w:tcBorders>
              <w:top w:val="nil"/>
              <w:left w:val="nil"/>
              <w:bottom w:val="single" w:sz="4" w:space="0" w:color="auto"/>
              <w:right w:val="single" w:sz="4" w:space="0" w:color="auto"/>
            </w:tcBorders>
            <w:shd w:val="clear" w:color="auto" w:fill="auto"/>
            <w:noWrap/>
            <w:vAlign w:val="bottom"/>
          </w:tcPr>
          <w:p w14:paraId="2780ED9E"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8,0375%</w:t>
            </w:r>
          </w:p>
        </w:tc>
      </w:tr>
      <w:tr w:rsidR="008E3E27" w:rsidRPr="008E3E27" w14:paraId="5C1FFB0F" w14:textId="77777777" w:rsidTr="009C0E6E">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690E1C0A"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Total</w:t>
            </w:r>
          </w:p>
        </w:tc>
        <w:tc>
          <w:tcPr>
            <w:tcW w:w="1500" w:type="dxa"/>
            <w:tcBorders>
              <w:top w:val="nil"/>
              <w:left w:val="nil"/>
              <w:bottom w:val="single" w:sz="4" w:space="0" w:color="auto"/>
              <w:right w:val="single" w:sz="4" w:space="0" w:color="auto"/>
            </w:tcBorders>
            <w:shd w:val="clear" w:color="auto" w:fill="auto"/>
            <w:noWrap/>
            <w:vAlign w:val="bottom"/>
          </w:tcPr>
          <w:p w14:paraId="5D568B04"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100,0000%</w:t>
            </w:r>
          </w:p>
        </w:tc>
      </w:tr>
    </w:tbl>
    <w:p w14:paraId="51EF49C9" w14:textId="77777777" w:rsidR="00F90F97" w:rsidRDefault="00F90F97" w:rsidP="00BF49B9">
      <w:pPr>
        <w:spacing w:after="0" w:line="240" w:lineRule="auto"/>
      </w:pPr>
    </w:p>
    <w:p w14:paraId="63EE8DF7" w14:textId="77777777" w:rsidR="00D67AF6" w:rsidRDefault="00D67AF6" w:rsidP="00BF49B9">
      <w:pPr>
        <w:spacing w:after="0" w:line="240" w:lineRule="auto"/>
      </w:pPr>
    </w:p>
    <w:p w14:paraId="51C936CA" w14:textId="77777777" w:rsidR="008E3E27" w:rsidRDefault="008E3E27" w:rsidP="002422D5">
      <w:pPr>
        <w:keepNext/>
        <w:numPr>
          <w:ilvl w:val="0"/>
          <w:numId w:val="9"/>
        </w:numPr>
        <w:tabs>
          <w:tab w:val="num" w:pos="1134"/>
        </w:tabs>
        <w:spacing w:after="0" w:line="240" w:lineRule="auto"/>
        <w:ind w:left="1134" w:right="-63" w:hanging="567"/>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 xml:space="preserve">Reservas </w:t>
      </w:r>
    </w:p>
    <w:p w14:paraId="2F47B91A" w14:textId="77777777" w:rsidR="008B1A0B" w:rsidRDefault="008B1A0B" w:rsidP="008B1A0B">
      <w:pPr>
        <w:keepNext/>
        <w:tabs>
          <w:tab w:val="num" w:pos="1134"/>
        </w:tabs>
        <w:spacing w:after="0" w:line="240" w:lineRule="auto"/>
        <w:ind w:left="1134" w:right="-63"/>
        <w:outlineLvl w:val="4"/>
        <w:rPr>
          <w:rFonts w:eastAsia="Times New Roman" w:cs="Times New Roman"/>
          <w:b/>
          <w:bCs/>
          <w:szCs w:val="24"/>
          <w:lang w:val="es-ES_tradnl" w:eastAsia="es-ES"/>
        </w:rPr>
      </w:pPr>
    </w:p>
    <w:tbl>
      <w:tblPr>
        <w:tblW w:w="8221" w:type="dxa"/>
        <w:tblInd w:w="426" w:type="dxa"/>
        <w:tblCellMar>
          <w:left w:w="70" w:type="dxa"/>
          <w:right w:w="70" w:type="dxa"/>
        </w:tblCellMar>
        <w:tblLook w:val="04A0" w:firstRow="1" w:lastRow="0" w:firstColumn="1" w:lastColumn="0" w:noHBand="0" w:noVBand="1"/>
      </w:tblPr>
      <w:tblGrid>
        <w:gridCol w:w="4716"/>
        <w:gridCol w:w="1776"/>
        <w:gridCol w:w="1729"/>
      </w:tblGrid>
      <w:tr w:rsidR="0016787A" w:rsidRPr="00B256F3" w14:paraId="5DA1DD84" w14:textId="77777777" w:rsidTr="0016787A">
        <w:trPr>
          <w:trHeight w:val="255"/>
        </w:trPr>
        <w:tc>
          <w:tcPr>
            <w:tcW w:w="4744" w:type="dxa"/>
            <w:tcBorders>
              <w:top w:val="nil"/>
              <w:left w:val="nil"/>
              <w:bottom w:val="nil"/>
              <w:right w:val="nil"/>
            </w:tcBorders>
            <w:shd w:val="clear" w:color="auto" w:fill="auto"/>
            <w:vAlign w:val="center"/>
          </w:tcPr>
          <w:p w14:paraId="3FE82CC1" w14:textId="77777777" w:rsidR="0016787A" w:rsidRPr="00B256F3" w:rsidRDefault="0016787A" w:rsidP="00B256F3">
            <w:pPr>
              <w:spacing w:after="0" w:line="240" w:lineRule="auto"/>
              <w:rPr>
                <w:rFonts w:ascii="Times New Roman" w:eastAsia="Times New Roman" w:hAnsi="Times New Roman" w:cs="Times New Roman"/>
                <w:szCs w:val="24"/>
                <w:lang w:eastAsia="es-ES"/>
              </w:rPr>
            </w:pPr>
          </w:p>
        </w:tc>
        <w:tc>
          <w:tcPr>
            <w:tcW w:w="3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FAA9" w14:textId="6F29D557" w:rsidR="0016787A" w:rsidRPr="0016787A" w:rsidRDefault="0016787A" w:rsidP="0016787A">
            <w:pPr>
              <w:spacing w:after="0" w:line="240" w:lineRule="auto"/>
              <w:jc w:val="center"/>
              <w:rPr>
                <w:rFonts w:eastAsia="Times New Roman" w:cs="Arial"/>
                <w:szCs w:val="24"/>
                <w:lang w:eastAsia="es-ES"/>
              </w:rPr>
            </w:pPr>
            <w:r w:rsidRPr="0016787A">
              <w:rPr>
                <w:rFonts w:eastAsia="Times New Roman" w:cs="Arial"/>
                <w:szCs w:val="24"/>
                <w:lang w:eastAsia="es-ES"/>
              </w:rPr>
              <w:t>Euros</w:t>
            </w:r>
          </w:p>
        </w:tc>
      </w:tr>
      <w:tr w:rsidR="00B256F3" w:rsidRPr="00B256F3" w14:paraId="54DADB07" w14:textId="77777777" w:rsidTr="0016787A">
        <w:trPr>
          <w:trHeight w:val="255"/>
        </w:trPr>
        <w:tc>
          <w:tcPr>
            <w:tcW w:w="4744" w:type="dxa"/>
            <w:tcBorders>
              <w:top w:val="nil"/>
              <w:left w:val="nil"/>
              <w:bottom w:val="nil"/>
              <w:right w:val="nil"/>
            </w:tcBorders>
            <w:shd w:val="clear" w:color="auto" w:fill="auto"/>
            <w:vAlign w:val="center"/>
            <w:hideMark/>
          </w:tcPr>
          <w:p w14:paraId="0844AEAD" w14:textId="77777777" w:rsidR="00B256F3" w:rsidRPr="00B256F3" w:rsidRDefault="00B256F3" w:rsidP="00B256F3">
            <w:pPr>
              <w:spacing w:after="0" w:line="240" w:lineRule="auto"/>
              <w:rPr>
                <w:rFonts w:ascii="Times New Roman" w:eastAsia="Times New Roman" w:hAnsi="Times New Roman" w:cs="Times New Roman"/>
                <w:szCs w:val="24"/>
                <w:lang w:eastAsia="es-ES"/>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DA72" w14:textId="77777777" w:rsidR="00B256F3" w:rsidRPr="00B256F3" w:rsidRDefault="00B256F3" w:rsidP="0016787A">
            <w:pPr>
              <w:spacing w:after="0" w:line="240" w:lineRule="auto"/>
              <w:jc w:val="center"/>
              <w:rPr>
                <w:rFonts w:eastAsia="Times New Roman" w:cs="Arial"/>
                <w:b/>
                <w:bCs/>
                <w:szCs w:val="24"/>
                <w:lang w:eastAsia="es-ES"/>
              </w:rPr>
            </w:pPr>
            <w:r w:rsidRPr="00B256F3">
              <w:rPr>
                <w:rFonts w:eastAsia="Times New Roman" w:cs="Arial"/>
                <w:b/>
                <w:bCs/>
                <w:szCs w:val="24"/>
                <w:lang w:eastAsia="es-ES"/>
              </w:rPr>
              <w:t>31/12/2020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E218B6" w14:textId="77777777" w:rsidR="00B256F3" w:rsidRPr="00B256F3" w:rsidRDefault="00B256F3" w:rsidP="0016787A">
            <w:pPr>
              <w:spacing w:after="0" w:line="240" w:lineRule="auto"/>
              <w:jc w:val="center"/>
              <w:rPr>
                <w:rFonts w:eastAsia="Times New Roman" w:cs="Arial"/>
                <w:b/>
                <w:bCs/>
                <w:szCs w:val="24"/>
                <w:lang w:eastAsia="es-ES"/>
              </w:rPr>
            </w:pPr>
            <w:r w:rsidRPr="00B256F3">
              <w:rPr>
                <w:rFonts w:eastAsia="Times New Roman" w:cs="Arial"/>
                <w:b/>
                <w:bCs/>
                <w:szCs w:val="24"/>
                <w:lang w:eastAsia="es-ES"/>
              </w:rPr>
              <w:t>31/12/2019</w:t>
            </w:r>
          </w:p>
        </w:tc>
      </w:tr>
      <w:tr w:rsidR="00B256F3" w:rsidRPr="00B256F3" w14:paraId="74CA6E96" w14:textId="77777777" w:rsidTr="0016787A">
        <w:trPr>
          <w:trHeight w:val="301"/>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7E5F"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Reserva legal</w:t>
            </w:r>
          </w:p>
        </w:tc>
        <w:tc>
          <w:tcPr>
            <w:tcW w:w="1776" w:type="dxa"/>
            <w:tcBorders>
              <w:top w:val="nil"/>
              <w:left w:val="nil"/>
              <w:bottom w:val="single" w:sz="4" w:space="0" w:color="auto"/>
              <w:right w:val="single" w:sz="4" w:space="0" w:color="auto"/>
            </w:tcBorders>
            <w:shd w:val="clear" w:color="auto" w:fill="auto"/>
            <w:vAlign w:val="center"/>
            <w:hideMark/>
          </w:tcPr>
          <w:p w14:paraId="1929F2C2"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24.117.248,16</w:t>
            </w:r>
          </w:p>
        </w:tc>
        <w:tc>
          <w:tcPr>
            <w:tcW w:w="1701" w:type="dxa"/>
            <w:tcBorders>
              <w:top w:val="nil"/>
              <w:left w:val="nil"/>
              <w:bottom w:val="single" w:sz="4" w:space="0" w:color="auto"/>
              <w:right w:val="single" w:sz="4" w:space="0" w:color="auto"/>
            </w:tcBorders>
            <w:shd w:val="clear" w:color="auto" w:fill="auto"/>
            <w:vAlign w:val="center"/>
            <w:hideMark/>
          </w:tcPr>
          <w:p w14:paraId="7952B3D8"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23.625.956,02</w:t>
            </w:r>
          </w:p>
        </w:tc>
      </w:tr>
      <w:tr w:rsidR="00B256F3" w:rsidRPr="00B256F3" w14:paraId="1D9CAB7B" w14:textId="77777777" w:rsidTr="0016787A">
        <w:trPr>
          <w:trHeight w:val="359"/>
        </w:trPr>
        <w:tc>
          <w:tcPr>
            <w:tcW w:w="4744" w:type="dxa"/>
            <w:tcBorders>
              <w:top w:val="nil"/>
              <w:left w:val="single" w:sz="4" w:space="0" w:color="auto"/>
              <w:bottom w:val="nil"/>
              <w:right w:val="single" w:sz="4" w:space="0" w:color="auto"/>
            </w:tcBorders>
            <w:shd w:val="clear" w:color="auto" w:fill="auto"/>
            <w:vAlign w:val="center"/>
            <w:hideMark/>
          </w:tcPr>
          <w:p w14:paraId="150159EB"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Otras reservas</w:t>
            </w:r>
          </w:p>
        </w:tc>
        <w:tc>
          <w:tcPr>
            <w:tcW w:w="1776" w:type="dxa"/>
            <w:tcBorders>
              <w:top w:val="nil"/>
              <w:left w:val="nil"/>
              <w:bottom w:val="nil"/>
              <w:right w:val="single" w:sz="4" w:space="0" w:color="auto"/>
            </w:tcBorders>
            <w:shd w:val="clear" w:color="auto" w:fill="auto"/>
            <w:vAlign w:val="center"/>
            <w:hideMark/>
          </w:tcPr>
          <w:p w14:paraId="6FE355B9"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 </w:t>
            </w:r>
          </w:p>
        </w:tc>
        <w:tc>
          <w:tcPr>
            <w:tcW w:w="1701" w:type="dxa"/>
            <w:tcBorders>
              <w:top w:val="nil"/>
              <w:left w:val="nil"/>
              <w:bottom w:val="nil"/>
              <w:right w:val="single" w:sz="4" w:space="0" w:color="auto"/>
            </w:tcBorders>
            <w:shd w:val="clear" w:color="auto" w:fill="auto"/>
            <w:vAlign w:val="center"/>
            <w:hideMark/>
          </w:tcPr>
          <w:p w14:paraId="7F5C93BD"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 </w:t>
            </w:r>
          </w:p>
        </w:tc>
      </w:tr>
      <w:tr w:rsidR="00B256F3" w:rsidRPr="00B256F3" w14:paraId="48DAC07B" w14:textId="77777777" w:rsidTr="0016787A">
        <w:trPr>
          <w:trHeight w:val="301"/>
        </w:trPr>
        <w:tc>
          <w:tcPr>
            <w:tcW w:w="4744" w:type="dxa"/>
            <w:tcBorders>
              <w:top w:val="nil"/>
              <w:left w:val="single" w:sz="4" w:space="0" w:color="auto"/>
              <w:bottom w:val="nil"/>
              <w:right w:val="single" w:sz="4" w:space="0" w:color="auto"/>
            </w:tcBorders>
            <w:shd w:val="clear" w:color="auto" w:fill="auto"/>
            <w:vAlign w:val="center"/>
            <w:hideMark/>
          </w:tcPr>
          <w:p w14:paraId="1E6B3DDD"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 xml:space="preserve">        Diferencias por ajuste del capital a euros</w:t>
            </w:r>
          </w:p>
        </w:tc>
        <w:tc>
          <w:tcPr>
            <w:tcW w:w="1776" w:type="dxa"/>
            <w:tcBorders>
              <w:top w:val="nil"/>
              <w:left w:val="nil"/>
              <w:bottom w:val="nil"/>
              <w:right w:val="single" w:sz="4" w:space="0" w:color="auto"/>
            </w:tcBorders>
            <w:shd w:val="clear" w:color="auto" w:fill="auto"/>
            <w:vAlign w:val="center"/>
            <w:hideMark/>
          </w:tcPr>
          <w:p w14:paraId="13311943"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3.327,30</w:t>
            </w:r>
          </w:p>
        </w:tc>
        <w:tc>
          <w:tcPr>
            <w:tcW w:w="1701" w:type="dxa"/>
            <w:tcBorders>
              <w:top w:val="nil"/>
              <w:left w:val="nil"/>
              <w:bottom w:val="nil"/>
              <w:right w:val="single" w:sz="4" w:space="0" w:color="auto"/>
            </w:tcBorders>
            <w:shd w:val="clear" w:color="auto" w:fill="auto"/>
            <w:vAlign w:val="center"/>
            <w:hideMark/>
          </w:tcPr>
          <w:p w14:paraId="5DA2C7E0"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3.327,30</w:t>
            </w:r>
          </w:p>
        </w:tc>
      </w:tr>
      <w:tr w:rsidR="00B256F3" w:rsidRPr="00B256F3" w14:paraId="30A67427" w14:textId="77777777" w:rsidTr="0016787A">
        <w:trPr>
          <w:trHeight w:val="278"/>
        </w:trPr>
        <w:tc>
          <w:tcPr>
            <w:tcW w:w="4744" w:type="dxa"/>
            <w:tcBorders>
              <w:top w:val="nil"/>
              <w:left w:val="single" w:sz="4" w:space="0" w:color="auto"/>
              <w:bottom w:val="nil"/>
              <w:right w:val="single" w:sz="4" w:space="0" w:color="auto"/>
            </w:tcBorders>
            <w:shd w:val="clear" w:color="auto" w:fill="auto"/>
            <w:vAlign w:val="center"/>
            <w:hideMark/>
          </w:tcPr>
          <w:p w14:paraId="0B16FBF0" w14:textId="77777777" w:rsidR="00B256F3" w:rsidRPr="00B256F3" w:rsidRDefault="00B256F3" w:rsidP="00B256F3">
            <w:pPr>
              <w:spacing w:after="0" w:line="240" w:lineRule="auto"/>
              <w:rPr>
                <w:rFonts w:eastAsia="Times New Roman" w:cs="Arial"/>
                <w:szCs w:val="24"/>
                <w:lang w:eastAsia="es-ES"/>
              </w:rPr>
            </w:pPr>
            <w:r w:rsidRPr="00B256F3">
              <w:rPr>
                <w:rFonts w:eastAsia="Times New Roman" w:cs="Arial"/>
                <w:szCs w:val="24"/>
                <w:lang w:eastAsia="es-ES"/>
              </w:rPr>
              <w:t xml:space="preserve">        Resultados de ejercicios anteriores</w:t>
            </w:r>
          </w:p>
        </w:tc>
        <w:tc>
          <w:tcPr>
            <w:tcW w:w="1776" w:type="dxa"/>
            <w:tcBorders>
              <w:top w:val="nil"/>
              <w:left w:val="nil"/>
              <w:bottom w:val="single" w:sz="4" w:space="0" w:color="auto"/>
              <w:right w:val="single" w:sz="4" w:space="0" w:color="auto"/>
            </w:tcBorders>
            <w:shd w:val="clear" w:color="000000" w:fill="FFFFFF"/>
            <w:noWrap/>
            <w:vAlign w:val="bottom"/>
            <w:hideMark/>
          </w:tcPr>
          <w:p w14:paraId="0BCBE415"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(4.681.354,86)</w:t>
            </w:r>
          </w:p>
        </w:tc>
        <w:tc>
          <w:tcPr>
            <w:tcW w:w="1701" w:type="dxa"/>
            <w:tcBorders>
              <w:top w:val="nil"/>
              <w:left w:val="nil"/>
              <w:bottom w:val="single" w:sz="4" w:space="0" w:color="auto"/>
              <w:right w:val="single" w:sz="4" w:space="0" w:color="auto"/>
            </w:tcBorders>
            <w:shd w:val="clear" w:color="000000" w:fill="FFFFFF"/>
            <w:noWrap/>
            <w:vAlign w:val="bottom"/>
            <w:hideMark/>
          </w:tcPr>
          <w:p w14:paraId="27F9AE75" w14:textId="77777777" w:rsidR="00B256F3" w:rsidRPr="00B256F3" w:rsidRDefault="00B256F3" w:rsidP="00B256F3">
            <w:pPr>
              <w:spacing w:after="0" w:line="240" w:lineRule="auto"/>
              <w:jc w:val="right"/>
              <w:rPr>
                <w:rFonts w:eastAsia="Times New Roman" w:cs="Arial"/>
                <w:szCs w:val="24"/>
                <w:lang w:eastAsia="es-ES"/>
              </w:rPr>
            </w:pPr>
            <w:r w:rsidRPr="00B256F3">
              <w:rPr>
                <w:rFonts w:eastAsia="Times New Roman" w:cs="Arial"/>
                <w:szCs w:val="24"/>
                <w:lang w:eastAsia="es-ES"/>
              </w:rPr>
              <w:t>(4.681.354,86)</w:t>
            </w:r>
          </w:p>
        </w:tc>
      </w:tr>
      <w:tr w:rsidR="00B256F3" w:rsidRPr="00B256F3" w14:paraId="55317F0F" w14:textId="77777777" w:rsidTr="0016787A">
        <w:trPr>
          <w:trHeight w:val="255"/>
        </w:trPr>
        <w:tc>
          <w:tcPr>
            <w:tcW w:w="4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D81A" w14:textId="77777777" w:rsidR="00B256F3" w:rsidRPr="00B256F3" w:rsidRDefault="00B256F3" w:rsidP="00B256F3">
            <w:pPr>
              <w:spacing w:after="0" w:line="240" w:lineRule="auto"/>
              <w:jc w:val="right"/>
              <w:rPr>
                <w:rFonts w:eastAsia="Times New Roman" w:cs="Arial"/>
                <w:b/>
                <w:bCs/>
                <w:szCs w:val="24"/>
                <w:lang w:eastAsia="es-ES"/>
              </w:rPr>
            </w:pPr>
            <w:r w:rsidRPr="00B256F3">
              <w:rPr>
                <w:rFonts w:eastAsia="Times New Roman" w:cs="Arial"/>
                <w:b/>
                <w:bCs/>
                <w:szCs w:val="24"/>
                <w:lang w:eastAsia="es-ES"/>
              </w:rPr>
              <w:t>TOTAL</w:t>
            </w:r>
          </w:p>
        </w:tc>
        <w:tc>
          <w:tcPr>
            <w:tcW w:w="1776" w:type="dxa"/>
            <w:tcBorders>
              <w:top w:val="nil"/>
              <w:left w:val="nil"/>
              <w:bottom w:val="single" w:sz="4" w:space="0" w:color="auto"/>
              <w:right w:val="single" w:sz="4" w:space="0" w:color="auto"/>
            </w:tcBorders>
            <w:shd w:val="clear" w:color="auto" w:fill="auto"/>
            <w:vAlign w:val="center"/>
            <w:hideMark/>
          </w:tcPr>
          <w:p w14:paraId="59E958C7" w14:textId="77777777" w:rsidR="00B256F3" w:rsidRPr="00B256F3" w:rsidRDefault="00B256F3" w:rsidP="00B256F3">
            <w:pPr>
              <w:spacing w:after="0" w:line="240" w:lineRule="auto"/>
              <w:jc w:val="right"/>
              <w:rPr>
                <w:rFonts w:eastAsia="Times New Roman" w:cs="Arial"/>
                <w:b/>
                <w:bCs/>
                <w:szCs w:val="24"/>
                <w:lang w:eastAsia="es-ES"/>
              </w:rPr>
            </w:pPr>
            <w:r w:rsidRPr="00B256F3">
              <w:rPr>
                <w:rFonts w:eastAsia="Times New Roman" w:cs="Arial"/>
                <w:b/>
                <w:bCs/>
                <w:szCs w:val="24"/>
                <w:lang w:eastAsia="es-ES"/>
              </w:rPr>
              <w:t>19.439.220,60</w:t>
            </w:r>
          </w:p>
        </w:tc>
        <w:tc>
          <w:tcPr>
            <w:tcW w:w="1701" w:type="dxa"/>
            <w:tcBorders>
              <w:top w:val="nil"/>
              <w:left w:val="nil"/>
              <w:bottom w:val="single" w:sz="4" w:space="0" w:color="auto"/>
              <w:right w:val="single" w:sz="4" w:space="0" w:color="auto"/>
            </w:tcBorders>
            <w:shd w:val="clear" w:color="auto" w:fill="auto"/>
            <w:vAlign w:val="center"/>
            <w:hideMark/>
          </w:tcPr>
          <w:p w14:paraId="67FFA388" w14:textId="77777777" w:rsidR="00B256F3" w:rsidRPr="00B256F3" w:rsidRDefault="00B256F3" w:rsidP="00B256F3">
            <w:pPr>
              <w:spacing w:after="0" w:line="240" w:lineRule="auto"/>
              <w:jc w:val="right"/>
              <w:rPr>
                <w:rFonts w:eastAsia="Times New Roman" w:cs="Arial"/>
                <w:b/>
                <w:bCs/>
                <w:szCs w:val="24"/>
                <w:lang w:eastAsia="es-ES"/>
              </w:rPr>
            </w:pPr>
            <w:r w:rsidRPr="00B256F3">
              <w:rPr>
                <w:rFonts w:eastAsia="Times New Roman" w:cs="Arial"/>
                <w:b/>
                <w:bCs/>
                <w:szCs w:val="24"/>
                <w:lang w:eastAsia="es-ES"/>
              </w:rPr>
              <w:t>18.947.928,46</w:t>
            </w:r>
          </w:p>
        </w:tc>
      </w:tr>
    </w:tbl>
    <w:p w14:paraId="5945090C" w14:textId="77777777" w:rsidR="00AE7FF0" w:rsidRDefault="00AE7FF0" w:rsidP="00B712DA">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p>
    <w:p w14:paraId="4750734E" w14:textId="6D57A252" w:rsidR="00B712DA" w:rsidRDefault="00B712DA" w:rsidP="00B712DA">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r w:rsidRPr="00CA3EEC">
        <w:rPr>
          <w:rFonts w:eastAsia="Batang" w:cs="Times New Roman"/>
          <w:szCs w:val="24"/>
          <w:lang w:val="es-ES_tradnl" w:eastAsia="es-ES"/>
        </w:rPr>
        <w:t>La Junta General de Accionistas de 2</w:t>
      </w:r>
      <w:r w:rsidR="00DC146F">
        <w:rPr>
          <w:rFonts w:eastAsia="Batang" w:cs="Times New Roman"/>
          <w:szCs w:val="24"/>
          <w:lang w:val="es-ES_tradnl" w:eastAsia="es-ES"/>
        </w:rPr>
        <w:t>8</w:t>
      </w:r>
      <w:r w:rsidR="003A489B">
        <w:rPr>
          <w:rFonts w:eastAsia="Batang" w:cs="Times New Roman"/>
          <w:szCs w:val="24"/>
          <w:lang w:val="es-ES_tradnl" w:eastAsia="es-ES"/>
        </w:rPr>
        <w:t xml:space="preserve"> de mayo</w:t>
      </w:r>
      <w:r w:rsidR="00DC146F">
        <w:rPr>
          <w:rFonts w:eastAsia="Batang" w:cs="Times New Roman"/>
          <w:szCs w:val="24"/>
          <w:lang w:val="es-ES_tradnl" w:eastAsia="es-ES"/>
        </w:rPr>
        <w:t xml:space="preserve"> de 2020</w:t>
      </w:r>
      <w:r w:rsidRPr="00CA3EEC">
        <w:rPr>
          <w:rFonts w:eastAsia="Batang" w:cs="Times New Roman"/>
          <w:szCs w:val="24"/>
          <w:lang w:val="es-ES_tradnl" w:eastAsia="es-ES"/>
        </w:rPr>
        <w:t xml:space="preserve"> acordó destinar el resultado del ejercicio 201</w:t>
      </w:r>
      <w:r w:rsidR="00DC146F">
        <w:rPr>
          <w:rFonts w:eastAsia="Batang" w:cs="Times New Roman"/>
          <w:szCs w:val="24"/>
          <w:lang w:val="es-ES_tradnl" w:eastAsia="es-ES"/>
        </w:rPr>
        <w:t>9</w:t>
      </w:r>
      <w:r w:rsidRPr="00CA3EEC">
        <w:rPr>
          <w:rFonts w:eastAsia="Batang" w:cs="Times New Roman"/>
          <w:szCs w:val="24"/>
          <w:lang w:val="es-ES_tradnl" w:eastAsia="es-ES"/>
        </w:rPr>
        <w:t xml:space="preserve"> de </w:t>
      </w:r>
      <w:r w:rsidR="00DC146F">
        <w:rPr>
          <w:rFonts w:eastAsia="Batang" w:cs="Times New Roman"/>
          <w:szCs w:val="24"/>
          <w:lang w:val="es-ES_tradnl" w:eastAsia="es-ES"/>
        </w:rPr>
        <w:t>4.912.921,41</w:t>
      </w:r>
      <w:r w:rsidR="00C24F43">
        <w:rPr>
          <w:rFonts w:eastAsia="Batang" w:cs="Times New Roman"/>
          <w:szCs w:val="24"/>
          <w:lang w:val="es-ES_tradnl" w:eastAsia="es-ES"/>
        </w:rPr>
        <w:t xml:space="preserve"> €</w:t>
      </w:r>
      <w:r w:rsidRPr="00CA3EEC">
        <w:rPr>
          <w:rFonts w:eastAsia="Batang" w:cs="Times New Roman"/>
          <w:szCs w:val="24"/>
          <w:lang w:val="es-ES_tradnl" w:eastAsia="es-ES"/>
        </w:rPr>
        <w:t xml:space="preserve"> euros a la dotación de reserva legal por </w:t>
      </w:r>
      <w:r w:rsidR="00C24F43">
        <w:rPr>
          <w:rFonts w:eastAsia="Batang" w:cs="Times New Roman"/>
          <w:szCs w:val="24"/>
          <w:lang w:val="es-ES_tradnl" w:eastAsia="es-ES"/>
        </w:rPr>
        <w:t xml:space="preserve">importe de </w:t>
      </w:r>
      <w:r w:rsidR="00DC146F">
        <w:rPr>
          <w:rFonts w:eastAsia="Batang" w:cs="Times New Roman"/>
          <w:szCs w:val="24"/>
          <w:lang w:val="es-ES_tradnl" w:eastAsia="es-ES"/>
        </w:rPr>
        <w:t>491.292,14</w:t>
      </w:r>
      <w:r w:rsidRPr="00CA3EEC">
        <w:rPr>
          <w:rFonts w:eastAsia="Batang" w:cs="Times New Roman"/>
          <w:szCs w:val="24"/>
          <w:lang w:val="es-ES_tradnl" w:eastAsia="es-ES"/>
        </w:rPr>
        <w:t xml:space="preserve"> euros y el importe restante </w:t>
      </w:r>
      <w:r w:rsidR="00C24F43">
        <w:rPr>
          <w:rFonts w:eastAsia="Batang" w:cs="Times New Roman"/>
          <w:szCs w:val="24"/>
          <w:lang w:val="es-ES_tradnl" w:eastAsia="es-ES"/>
        </w:rPr>
        <w:t xml:space="preserve">de </w:t>
      </w:r>
      <w:r w:rsidR="00DC146F">
        <w:rPr>
          <w:rFonts w:eastAsia="Batang" w:cs="Times New Roman"/>
          <w:szCs w:val="24"/>
          <w:lang w:val="es-ES_tradnl" w:eastAsia="es-ES"/>
        </w:rPr>
        <w:t>4.421.629,27</w:t>
      </w:r>
      <w:r w:rsidR="00C24F43">
        <w:rPr>
          <w:rFonts w:eastAsia="Batang" w:cs="Times New Roman"/>
          <w:szCs w:val="24"/>
          <w:lang w:val="es-ES_tradnl" w:eastAsia="es-ES"/>
        </w:rPr>
        <w:t xml:space="preserve"> euros </w:t>
      </w:r>
      <w:r w:rsidRPr="00CA3EEC">
        <w:rPr>
          <w:rFonts w:eastAsia="Batang" w:cs="Times New Roman"/>
          <w:szCs w:val="24"/>
          <w:lang w:val="es-ES_tradnl" w:eastAsia="es-ES"/>
        </w:rPr>
        <w:t>al pago de dividendos.</w:t>
      </w:r>
    </w:p>
    <w:p w14:paraId="74644E06" w14:textId="77777777" w:rsidR="00B712DA" w:rsidRDefault="00B712DA" w:rsidP="008E3E27">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p>
    <w:p w14:paraId="47124273" w14:textId="77777777" w:rsidR="008E3E27" w:rsidRPr="008E3E27" w:rsidRDefault="008E3E27" w:rsidP="008E3E27">
      <w:pPr>
        <w:keepLines/>
        <w:numPr>
          <w:ilvl w:val="0"/>
          <w:numId w:val="10"/>
        </w:numPr>
        <w:overflowPunct w:val="0"/>
        <w:autoSpaceDE w:val="0"/>
        <w:autoSpaceDN w:val="0"/>
        <w:adjustRightInd w:val="0"/>
        <w:spacing w:after="0" w:line="240" w:lineRule="auto"/>
        <w:ind w:left="1560" w:hanging="426"/>
        <w:jc w:val="both"/>
        <w:textAlignment w:val="baseline"/>
        <w:rPr>
          <w:rFonts w:eastAsia="Batang" w:cs="Times New Roman"/>
          <w:szCs w:val="24"/>
          <w:lang w:val="es-ES_tradnl" w:eastAsia="es-ES"/>
        </w:rPr>
      </w:pPr>
      <w:r w:rsidRPr="008E3E27">
        <w:rPr>
          <w:rFonts w:eastAsia="Batang" w:cs="Times New Roman"/>
          <w:szCs w:val="24"/>
          <w:lang w:val="es-ES_tradnl" w:eastAsia="es-ES"/>
        </w:rPr>
        <w:t xml:space="preserve">Reserva legal: De acuerdo con la ley de Sociedades de Capital, debe destinarse una cifra igual al 10% del beneficio del ejercicio a la reserva legal, hasta que ésta alcance, al menos, el 20% del capital social. La reserva legal podrá utilizarse para aumentar el capital en la parte de su saldo que exceda del 10% del capital ya aumentado. Salvo para la finalidad mencionada anteriormente, y mientras no supere el 20% del capital social, esta reserva sólo podrá destinarse a la compensación de pérdidas y siempre que no existan otras reservas disponibles suficientes para este fin. </w:t>
      </w:r>
    </w:p>
    <w:p w14:paraId="228C22CD" w14:textId="77777777" w:rsidR="008E3E27" w:rsidRPr="008E3E27" w:rsidRDefault="008E3E27" w:rsidP="008E3E27">
      <w:pPr>
        <w:keepLines/>
        <w:overflowPunct w:val="0"/>
        <w:autoSpaceDE w:val="0"/>
        <w:autoSpaceDN w:val="0"/>
        <w:adjustRightInd w:val="0"/>
        <w:spacing w:after="0" w:line="240" w:lineRule="auto"/>
        <w:ind w:left="1134"/>
        <w:jc w:val="both"/>
        <w:textAlignment w:val="baseline"/>
        <w:rPr>
          <w:rFonts w:eastAsia="Batang" w:cs="Times New Roman"/>
          <w:szCs w:val="24"/>
          <w:lang w:val="es-ES_tradnl" w:eastAsia="es-ES"/>
        </w:rPr>
      </w:pPr>
    </w:p>
    <w:p w14:paraId="751FD0F6" w14:textId="77777777" w:rsidR="008E3E27" w:rsidRDefault="008E3E27" w:rsidP="008E3E27">
      <w:pPr>
        <w:keepLines/>
        <w:numPr>
          <w:ilvl w:val="0"/>
          <w:numId w:val="10"/>
        </w:numPr>
        <w:overflowPunct w:val="0"/>
        <w:autoSpaceDE w:val="0"/>
        <w:autoSpaceDN w:val="0"/>
        <w:adjustRightInd w:val="0"/>
        <w:spacing w:after="0" w:line="240" w:lineRule="auto"/>
        <w:ind w:left="1560" w:hanging="426"/>
        <w:jc w:val="both"/>
        <w:textAlignment w:val="baseline"/>
        <w:rPr>
          <w:rFonts w:eastAsia="Batang" w:cs="Times New Roman"/>
          <w:szCs w:val="24"/>
          <w:lang w:val="es-ES_tradnl" w:eastAsia="es-ES"/>
        </w:rPr>
      </w:pPr>
      <w:r w:rsidRPr="008E3E27">
        <w:rPr>
          <w:rFonts w:eastAsia="Batang" w:cs="Times New Roman"/>
          <w:szCs w:val="24"/>
          <w:lang w:val="es-ES_tradnl" w:eastAsia="es-ES"/>
        </w:rPr>
        <w:t xml:space="preserve">Diferencia por ajuste del capital al euro. Estas reservas han surgido como consecuencia del redondeo de la conversión del capital social a euros. De acuerdo con lo previsto en </w:t>
      </w:r>
      <w:smartTag w:uri="urn:schemas-microsoft-com:office:smarttags" w:element="PersonName">
        <w:smartTagPr>
          <w:attr w:name="ProductID" w:val="la Ley"/>
        </w:smartTagPr>
        <w:r w:rsidRPr="008E3E27">
          <w:rPr>
            <w:rFonts w:eastAsia="Batang" w:cs="Times New Roman"/>
            <w:szCs w:val="24"/>
            <w:lang w:val="es-ES_tradnl" w:eastAsia="es-ES"/>
          </w:rPr>
          <w:t>la Ley</w:t>
        </w:r>
      </w:smartTag>
      <w:r w:rsidRPr="008E3E27">
        <w:rPr>
          <w:rFonts w:eastAsia="Batang" w:cs="Times New Roman"/>
          <w:szCs w:val="24"/>
          <w:lang w:val="es-ES_tradnl" w:eastAsia="es-ES"/>
        </w:rPr>
        <w:t xml:space="preserve"> 46/98 de 17 de diciembre, esta reserva es indisponible.</w:t>
      </w:r>
    </w:p>
    <w:p w14:paraId="60A059F0" w14:textId="77777777" w:rsidR="008B1A0B" w:rsidRDefault="008B1A0B" w:rsidP="008B1A0B">
      <w:pPr>
        <w:pStyle w:val="Prrafodelista"/>
        <w:rPr>
          <w:rFonts w:eastAsia="Batang" w:cs="Times New Roman"/>
          <w:szCs w:val="24"/>
          <w:lang w:val="es-ES_tradnl" w:eastAsia="es-ES"/>
        </w:rPr>
      </w:pPr>
    </w:p>
    <w:p w14:paraId="02A72DAC" w14:textId="77777777" w:rsidR="00FA27B9" w:rsidRPr="001055C7" w:rsidRDefault="008B1A0B" w:rsidP="00FA27B9">
      <w:pPr>
        <w:keepLines/>
        <w:numPr>
          <w:ilvl w:val="0"/>
          <w:numId w:val="10"/>
        </w:numPr>
        <w:overflowPunct w:val="0"/>
        <w:autoSpaceDE w:val="0"/>
        <w:autoSpaceDN w:val="0"/>
        <w:adjustRightInd w:val="0"/>
        <w:spacing w:after="0" w:line="240" w:lineRule="auto"/>
        <w:ind w:left="1560" w:hanging="426"/>
        <w:jc w:val="both"/>
        <w:textAlignment w:val="baseline"/>
        <w:rPr>
          <w:rFonts w:eastAsia="Batang" w:cs="Times New Roman"/>
          <w:szCs w:val="24"/>
          <w:lang w:val="es-ES_tradnl" w:eastAsia="es-ES"/>
        </w:rPr>
      </w:pPr>
      <w:r w:rsidRPr="001055C7">
        <w:rPr>
          <w:rFonts w:eastAsia="Batang" w:cs="Times New Roman"/>
          <w:szCs w:val="24"/>
          <w:lang w:val="es-ES_tradnl" w:eastAsia="es-ES"/>
        </w:rPr>
        <w:t>Resultados de ejercicios anteriores</w:t>
      </w:r>
      <w:r w:rsidR="00FA27B9" w:rsidRPr="001055C7">
        <w:rPr>
          <w:rFonts w:eastAsia="Batang" w:cs="Times New Roman"/>
          <w:szCs w:val="24"/>
          <w:lang w:val="es-ES_tradnl" w:eastAsia="es-ES"/>
        </w:rPr>
        <w:t>. Los Resultados de Ejercicios anteriores surgen como consecuencia de la corrección de error del ejercicio 2016 que consistió en reconocer en 2017 un Resultado Negativo de Ejercicios anteriores contra Ajustes por Cambio de Valor por importe de 4.681.354, 86 euros.</w:t>
      </w:r>
    </w:p>
    <w:p w14:paraId="628FDF06" w14:textId="77777777" w:rsidR="00FA27B9" w:rsidRPr="008E3E27" w:rsidRDefault="00FA27B9" w:rsidP="008E3E27">
      <w:pPr>
        <w:overflowPunct w:val="0"/>
        <w:autoSpaceDE w:val="0"/>
        <w:autoSpaceDN w:val="0"/>
        <w:adjustRightInd w:val="0"/>
        <w:spacing w:after="0" w:line="240" w:lineRule="auto"/>
        <w:ind w:left="567" w:hanging="27"/>
        <w:jc w:val="both"/>
        <w:textAlignment w:val="baseline"/>
        <w:rPr>
          <w:rFonts w:eastAsia="Batang" w:cs="Times New Roman"/>
          <w:szCs w:val="24"/>
          <w:lang w:val="es-ES_tradnl" w:eastAsia="es-ES"/>
        </w:rPr>
      </w:pPr>
    </w:p>
    <w:p w14:paraId="446BC438" w14:textId="77777777" w:rsidR="009B726B" w:rsidRDefault="009B726B">
      <w:pPr>
        <w:rPr>
          <w:rFonts w:eastAsia="Times New Roman" w:cs="Times New Roman"/>
          <w:b/>
          <w:bCs/>
          <w:szCs w:val="24"/>
          <w:lang w:val="es-ES_tradnl" w:eastAsia="es-ES"/>
        </w:rPr>
      </w:pPr>
    </w:p>
    <w:p w14:paraId="75537D6B" w14:textId="77777777" w:rsidR="008E3E27" w:rsidRDefault="008E3E27" w:rsidP="008E3E27">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8E3E27">
        <w:rPr>
          <w:rFonts w:eastAsia="Batang" w:cs="Times New Roman"/>
          <w:b/>
          <w:bCs/>
          <w:szCs w:val="24"/>
          <w:u w:val="single"/>
          <w:lang w:val="es-ES_tradnl" w:eastAsia="es-ES"/>
        </w:rPr>
        <w:t>AJUSTES POR CAMBIOS DE VALOR</w:t>
      </w:r>
      <w:r w:rsidR="002728D5">
        <w:rPr>
          <w:rFonts w:eastAsia="Batang" w:cs="Times New Roman"/>
          <w:b/>
          <w:bCs/>
          <w:szCs w:val="24"/>
          <w:u w:val="single"/>
          <w:lang w:val="es-ES_tradnl" w:eastAsia="es-ES"/>
        </w:rPr>
        <w:t xml:space="preserve"> </w:t>
      </w:r>
    </w:p>
    <w:p w14:paraId="1EFF7359"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48F8F260" w14:textId="77777777" w:rsidR="00715C68" w:rsidRDefault="00715C68"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Pr>
          <w:rFonts w:eastAsia="Batang" w:cs="Times New Roman"/>
          <w:szCs w:val="24"/>
          <w:lang w:val="es-ES_tradnl" w:eastAsia="es-ES"/>
        </w:rPr>
        <w:t>La Sociedad al cierre de cada ejercicio registra la totalidad de su cartera a valor razonable.</w:t>
      </w:r>
    </w:p>
    <w:p w14:paraId="11772CF0" w14:textId="77777777" w:rsidR="00BD0ACD" w:rsidRDefault="00BD0ACD" w:rsidP="00BD0ACD">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403A16C" w14:textId="2B1E3BBF" w:rsidR="00BD0ACD" w:rsidRDefault="00BD0ACD" w:rsidP="00BD0ACD">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1D5C6A">
        <w:rPr>
          <w:rFonts w:eastAsia="Batang" w:cs="Times New Roman"/>
          <w:szCs w:val="24"/>
          <w:lang w:val="es-ES_tradnl" w:eastAsia="es-ES"/>
        </w:rPr>
        <w:t xml:space="preserve">El movimiento de este epígrafe del balance de situación adjunto durante los </w:t>
      </w:r>
      <w:r w:rsidRPr="00A72445">
        <w:rPr>
          <w:rFonts w:eastAsia="Batang" w:cs="Times New Roman"/>
          <w:szCs w:val="24"/>
          <w:lang w:val="es-ES_tradnl" w:eastAsia="es-ES"/>
        </w:rPr>
        <w:t>ejercicios 20</w:t>
      </w:r>
      <w:r w:rsidR="00B32F4E" w:rsidRPr="00A72445">
        <w:rPr>
          <w:rFonts w:eastAsia="Batang" w:cs="Times New Roman"/>
          <w:szCs w:val="24"/>
          <w:lang w:val="es-ES_tradnl" w:eastAsia="es-ES"/>
        </w:rPr>
        <w:t>19</w:t>
      </w:r>
      <w:r w:rsidRPr="00A72445">
        <w:rPr>
          <w:rFonts w:eastAsia="Batang" w:cs="Times New Roman"/>
          <w:szCs w:val="24"/>
          <w:lang w:val="es-ES_tradnl" w:eastAsia="es-ES"/>
        </w:rPr>
        <w:t xml:space="preserve"> y 20</w:t>
      </w:r>
      <w:r w:rsidR="00B32F4E" w:rsidRPr="00A72445">
        <w:rPr>
          <w:rFonts w:eastAsia="Batang" w:cs="Times New Roman"/>
          <w:szCs w:val="24"/>
          <w:lang w:val="es-ES_tradnl" w:eastAsia="es-ES"/>
        </w:rPr>
        <w:t>20</w:t>
      </w:r>
      <w:r w:rsidRPr="00A72445">
        <w:rPr>
          <w:rFonts w:eastAsia="Batang" w:cs="Times New Roman"/>
          <w:szCs w:val="24"/>
          <w:lang w:val="es-ES_tradnl" w:eastAsia="es-ES"/>
        </w:rPr>
        <w:t xml:space="preserve"> ha</w:t>
      </w:r>
      <w:r w:rsidRPr="001D5C6A">
        <w:rPr>
          <w:rFonts w:eastAsia="Batang" w:cs="Times New Roman"/>
          <w:szCs w:val="24"/>
          <w:lang w:val="es-ES_tradnl" w:eastAsia="es-ES"/>
        </w:rPr>
        <w:t xml:space="preserve"> sido el siguiente:</w:t>
      </w:r>
    </w:p>
    <w:p w14:paraId="5473598E" w14:textId="77777777" w:rsidR="00357FBF" w:rsidRDefault="00357FBF" w:rsidP="00BD0ACD">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FCE4CEA" w14:textId="77777777" w:rsidR="00DF027C" w:rsidRDefault="00DF027C" w:rsidP="00BD0ACD">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9072" w:type="dxa"/>
        <w:tblCellMar>
          <w:left w:w="70" w:type="dxa"/>
          <w:right w:w="70" w:type="dxa"/>
        </w:tblCellMar>
        <w:tblLook w:val="04A0" w:firstRow="1" w:lastRow="0" w:firstColumn="1" w:lastColumn="0" w:noHBand="0" w:noVBand="1"/>
      </w:tblPr>
      <w:tblGrid>
        <w:gridCol w:w="2920"/>
        <w:gridCol w:w="1660"/>
        <w:gridCol w:w="1480"/>
        <w:gridCol w:w="1460"/>
        <w:gridCol w:w="1552"/>
      </w:tblGrid>
      <w:tr w:rsidR="00357FBF" w:rsidRPr="00357FBF" w14:paraId="0173DAB8" w14:textId="77777777" w:rsidTr="00DF027C">
        <w:trPr>
          <w:trHeight w:val="285"/>
        </w:trPr>
        <w:tc>
          <w:tcPr>
            <w:tcW w:w="2920" w:type="dxa"/>
            <w:tcBorders>
              <w:top w:val="nil"/>
              <w:left w:val="nil"/>
              <w:bottom w:val="nil"/>
              <w:right w:val="nil"/>
            </w:tcBorders>
            <w:shd w:val="clear" w:color="auto" w:fill="auto"/>
            <w:noWrap/>
            <w:vAlign w:val="bottom"/>
            <w:hideMark/>
          </w:tcPr>
          <w:p w14:paraId="72923784" w14:textId="77777777" w:rsidR="00357FBF" w:rsidRPr="00357FBF" w:rsidRDefault="00357FBF" w:rsidP="00357FBF">
            <w:pPr>
              <w:spacing w:after="0" w:line="240" w:lineRule="auto"/>
              <w:rPr>
                <w:rFonts w:eastAsia="Times New Roman" w:cs="Arial"/>
                <w:b/>
                <w:bCs/>
                <w:sz w:val="22"/>
                <w:lang w:eastAsia="es-ES"/>
              </w:rPr>
            </w:pPr>
            <w:r w:rsidRPr="00357FBF">
              <w:rPr>
                <w:rFonts w:eastAsia="Times New Roman" w:cs="Arial"/>
                <w:b/>
                <w:bCs/>
                <w:sz w:val="22"/>
                <w:lang w:eastAsia="es-ES"/>
              </w:rPr>
              <w:lastRenderedPageBreak/>
              <w:t>Ejercicio 2020</w:t>
            </w:r>
          </w:p>
        </w:tc>
        <w:tc>
          <w:tcPr>
            <w:tcW w:w="1660" w:type="dxa"/>
            <w:tcBorders>
              <w:top w:val="nil"/>
              <w:left w:val="nil"/>
              <w:bottom w:val="single" w:sz="4" w:space="0" w:color="auto"/>
              <w:right w:val="nil"/>
            </w:tcBorders>
            <w:shd w:val="clear" w:color="auto" w:fill="auto"/>
            <w:noWrap/>
            <w:vAlign w:val="bottom"/>
            <w:hideMark/>
          </w:tcPr>
          <w:p w14:paraId="6E68BBBC" w14:textId="77777777" w:rsidR="00357FBF" w:rsidRPr="00357FBF" w:rsidRDefault="00357FBF" w:rsidP="00357FBF">
            <w:pPr>
              <w:spacing w:after="0" w:line="240" w:lineRule="auto"/>
              <w:rPr>
                <w:rFonts w:eastAsia="Times New Roman" w:cs="Arial"/>
                <w:b/>
                <w:bCs/>
                <w:sz w:val="22"/>
                <w:lang w:eastAsia="es-ES"/>
              </w:rPr>
            </w:pPr>
          </w:p>
        </w:tc>
        <w:tc>
          <w:tcPr>
            <w:tcW w:w="1480" w:type="dxa"/>
            <w:tcBorders>
              <w:top w:val="nil"/>
              <w:left w:val="nil"/>
              <w:bottom w:val="single" w:sz="4" w:space="0" w:color="auto"/>
              <w:right w:val="nil"/>
            </w:tcBorders>
            <w:shd w:val="clear" w:color="auto" w:fill="auto"/>
            <w:noWrap/>
            <w:vAlign w:val="bottom"/>
            <w:hideMark/>
          </w:tcPr>
          <w:p w14:paraId="42F71402" w14:textId="77777777" w:rsidR="00357FBF" w:rsidRPr="00357FBF" w:rsidRDefault="00357FBF" w:rsidP="00357FBF">
            <w:pPr>
              <w:spacing w:after="0" w:line="240" w:lineRule="auto"/>
              <w:rPr>
                <w:rFonts w:ascii="Times New Roman" w:eastAsia="Times New Roman" w:hAnsi="Times New Roman" w:cs="Times New Roman"/>
                <w:sz w:val="20"/>
                <w:szCs w:val="20"/>
                <w:lang w:eastAsia="es-ES"/>
              </w:rPr>
            </w:pPr>
          </w:p>
        </w:tc>
        <w:tc>
          <w:tcPr>
            <w:tcW w:w="1460" w:type="dxa"/>
            <w:tcBorders>
              <w:top w:val="nil"/>
              <w:left w:val="nil"/>
              <w:bottom w:val="single" w:sz="4" w:space="0" w:color="auto"/>
              <w:right w:val="nil"/>
            </w:tcBorders>
            <w:shd w:val="clear" w:color="auto" w:fill="auto"/>
            <w:noWrap/>
            <w:vAlign w:val="bottom"/>
            <w:hideMark/>
          </w:tcPr>
          <w:p w14:paraId="1BC75C2F" w14:textId="77777777" w:rsidR="00357FBF" w:rsidRPr="00357FBF" w:rsidRDefault="00357FBF" w:rsidP="00357FBF">
            <w:pPr>
              <w:spacing w:after="0" w:line="240" w:lineRule="auto"/>
              <w:rPr>
                <w:rFonts w:ascii="Times New Roman" w:eastAsia="Times New Roman" w:hAnsi="Times New Roman" w:cs="Times New Roman"/>
                <w:sz w:val="20"/>
                <w:szCs w:val="20"/>
                <w:lang w:eastAsia="es-ES"/>
              </w:rPr>
            </w:pPr>
          </w:p>
        </w:tc>
        <w:tc>
          <w:tcPr>
            <w:tcW w:w="1552" w:type="dxa"/>
            <w:tcBorders>
              <w:top w:val="nil"/>
              <w:left w:val="nil"/>
              <w:bottom w:val="single" w:sz="4" w:space="0" w:color="auto"/>
              <w:right w:val="nil"/>
            </w:tcBorders>
            <w:shd w:val="clear" w:color="auto" w:fill="auto"/>
            <w:noWrap/>
            <w:vAlign w:val="bottom"/>
            <w:hideMark/>
          </w:tcPr>
          <w:p w14:paraId="4A28272E" w14:textId="77777777" w:rsidR="00357FBF" w:rsidRPr="00357FBF" w:rsidRDefault="00357FBF" w:rsidP="00357FBF">
            <w:pPr>
              <w:spacing w:after="0" w:line="240" w:lineRule="auto"/>
              <w:rPr>
                <w:rFonts w:ascii="Times New Roman" w:eastAsia="Times New Roman" w:hAnsi="Times New Roman" w:cs="Times New Roman"/>
                <w:sz w:val="20"/>
                <w:szCs w:val="20"/>
                <w:lang w:eastAsia="es-ES"/>
              </w:rPr>
            </w:pPr>
          </w:p>
        </w:tc>
      </w:tr>
      <w:tr w:rsidR="0016787A" w:rsidRPr="00357FBF" w14:paraId="76BD7732" w14:textId="77777777" w:rsidTr="00DF027C">
        <w:trPr>
          <w:trHeight w:val="255"/>
        </w:trPr>
        <w:tc>
          <w:tcPr>
            <w:tcW w:w="2920" w:type="dxa"/>
            <w:tcBorders>
              <w:top w:val="nil"/>
              <w:left w:val="nil"/>
              <w:bottom w:val="nil"/>
              <w:right w:val="single" w:sz="4" w:space="0" w:color="auto"/>
            </w:tcBorders>
            <w:shd w:val="clear" w:color="auto" w:fill="auto"/>
            <w:noWrap/>
            <w:vAlign w:val="bottom"/>
            <w:hideMark/>
          </w:tcPr>
          <w:p w14:paraId="549A7180" w14:textId="77777777" w:rsidR="0016787A" w:rsidRPr="00357FBF" w:rsidRDefault="0016787A" w:rsidP="00357FBF">
            <w:pPr>
              <w:spacing w:after="0" w:line="240" w:lineRule="auto"/>
              <w:rPr>
                <w:rFonts w:ascii="Times New Roman" w:eastAsia="Times New Roman" w:hAnsi="Times New Roman" w:cs="Times New Roman"/>
                <w:sz w:val="20"/>
                <w:szCs w:val="20"/>
                <w:lang w:eastAsia="es-ES"/>
              </w:rPr>
            </w:pPr>
          </w:p>
        </w:tc>
        <w:tc>
          <w:tcPr>
            <w:tcW w:w="61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427C" w14:textId="6464F553" w:rsidR="0016787A" w:rsidRPr="00357FBF" w:rsidRDefault="00DF027C" w:rsidP="0016787A">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Euros</w:t>
            </w:r>
          </w:p>
        </w:tc>
      </w:tr>
      <w:tr w:rsidR="00357FBF" w:rsidRPr="00357FBF" w14:paraId="6695EB6F" w14:textId="77777777" w:rsidTr="00DF027C">
        <w:trPr>
          <w:trHeight w:val="255"/>
        </w:trPr>
        <w:tc>
          <w:tcPr>
            <w:tcW w:w="2920" w:type="dxa"/>
            <w:tcBorders>
              <w:top w:val="nil"/>
              <w:left w:val="nil"/>
              <w:bottom w:val="nil"/>
              <w:right w:val="nil"/>
            </w:tcBorders>
            <w:shd w:val="clear" w:color="auto" w:fill="auto"/>
            <w:noWrap/>
            <w:vAlign w:val="bottom"/>
            <w:hideMark/>
          </w:tcPr>
          <w:p w14:paraId="5D92A56F" w14:textId="77777777" w:rsidR="00357FBF" w:rsidRPr="00357FBF" w:rsidRDefault="00357FBF" w:rsidP="00357FBF">
            <w:pPr>
              <w:spacing w:after="0" w:line="240" w:lineRule="auto"/>
              <w:rPr>
                <w:rFonts w:ascii="Times New Roman" w:eastAsia="Times New Roman" w:hAnsi="Times New Roman" w:cs="Times New Roman"/>
                <w:sz w:val="20"/>
                <w:szCs w:val="20"/>
                <w:lang w:eastAsia="es-ES"/>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17F4B" w14:textId="77777777" w:rsidR="00357FBF" w:rsidRPr="00357FBF" w:rsidRDefault="00357FBF" w:rsidP="00357FBF">
            <w:pPr>
              <w:spacing w:after="0" w:line="240" w:lineRule="auto"/>
              <w:jc w:val="center"/>
              <w:rPr>
                <w:rFonts w:eastAsia="Times New Roman" w:cs="Arial"/>
                <w:b/>
                <w:bCs/>
                <w:sz w:val="20"/>
                <w:szCs w:val="20"/>
                <w:lang w:eastAsia="es-ES"/>
              </w:rPr>
            </w:pPr>
            <w:r w:rsidRPr="00357FBF">
              <w:rPr>
                <w:rFonts w:eastAsia="Times New Roman" w:cs="Arial"/>
                <w:b/>
                <w:bCs/>
                <w:sz w:val="20"/>
                <w:szCs w:val="20"/>
                <w:lang w:eastAsia="es-ES"/>
              </w:rPr>
              <w:t>Saldo al 31.12.19</w:t>
            </w:r>
          </w:p>
        </w:tc>
        <w:tc>
          <w:tcPr>
            <w:tcW w:w="1480" w:type="dxa"/>
            <w:tcBorders>
              <w:top w:val="single" w:sz="4" w:space="0" w:color="auto"/>
              <w:left w:val="nil"/>
              <w:bottom w:val="single" w:sz="4" w:space="0" w:color="auto"/>
              <w:right w:val="nil"/>
            </w:tcBorders>
            <w:shd w:val="clear" w:color="auto" w:fill="auto"/>
            <w:noWrap/>
            <w:vAlign w:val="bottom"/>
            <w:hideMark/>
          </w:tcPr>
          <w:p w14:paraId="2EDD56A2" w14:textId="77777777" w:rsidR="00357FBF" w:rsidRPr="00357FBF" w:rsidRDefault="00357FBF" w:rsidP="00357FBF">
            <w:pPr>
              <w:spacing w:after="0" w:line="240" w:lineRule="auto"/>
              <w:jc w:val="center"/>
              <w:rPr>
                <w:rFonts w:eastAsia="Times New Roman" w:cs="Arial"/>
                <w:b/>
                <w:bCs/>
                <w:sz w:val="20"/>
                <w:szCs w:val="20"/>
                <w:lang w:eastAsia="es-ES"/>
              </w:rPr>
            </w:pPr>
            <w:r w:rsidRPr="00357FBF">
              <w:rPr>
                <w:rFonts w:eastAsia="Times New Roman" w:cs="Arial"/>
                <w:b/>
                <w:bCs/>
                <w:sz w:val="20"/>
                <w:szCs w:val="20"/>
                <w:lang w:eastAsia="es-ES"/>
              </w:rPr>
              <w:t>Plusvalías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5E63" w14:textId="77777777" w:rsidR="00357FBF" w:rsidRPr="00357FBF" w:rsidRDefault="00357FBF" w:rsidP="00357FBF">
            <w:pPr>
              <w:spacing w:after="0" w:line="240" w:lineRule="auto"/>
              <w:jc w:val="center"/>
              <w:rPr>
                <w:rFonts w:eastAsia="Times New Roman" w:cs="Arial"/>
                <w:b/>
                <w:bCs/>
                <w:sz w:val="20"/>
                <w:szCs w:val="20"/>
                <w:lang w:eastAsia="es-ES"/>
              </w:rPr>
            </w:pPr>
            <w:r w:rsidRPr="00357FBF">
              <w:rPr>
                <w:rFonts w:eastAsia="Times New Roman" w:cs="Arial"/>
                <w:b/>
                <w:bCs/>
                <w:sz w:val="20"/>
                <w:szCs w:val="20"/>
                <w:lang w:eastAsia="es-ES"/>
              </w:rPr>
              <w:t>Minusvalías</w:t>
            </w:r>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14:paraId="589EFE7D" w14:textId="77777777" w:rsidR="00357FBF" w:rsidRPr="00357FBF" w:rsidRDefault="00357FBF" w:rsidP="00357FBF">
            <w:pPr>
              <w:spacing w:after="0" w:line="240" w:lineRule="auto"/>
              <w:jc w:val="center"/>
              <w:rPr>
                <w:rFonts w:eastAsia="Times New Roman" w:cs="Arial"/>
                <w:b/>
                <w:bCs/>
                <w:sz w:val="20"/>
                <w:szCs w:val="20"/>
                <w:lang w:eastAsia="es-ES"/>
              </w:rPr>
            </w:pPr>
            <w:r w:rsidRPr="00357FBF">
              <w:rPr>
                <w:rFonts w:eastAsia="Times New Roman" w:cs="Arial"/>
                <w:b/>
                <w:bCs/>
                <w:sz w:val="20"/>
                <w:szCs w:val="20"/>
                <w:lang w:eastAsia="es-ES"/>
              </w:rPr>
              <w:t>Saldo al 31.12.20</w:t>
            </w:r>
          </w:p>
        </w:tc>
      </w:tr>
      <w:tr w:rsidR="00357FBF" w:rsidRPr="00357FBF" w14:paraId="345B92DC" w14:textId="77777777" w:rsidTr="00DF027C">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14:paraId="2075DBFD"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660" w:type="dxa"/>
            <w:tcBorders>
              <w:top w:val="nil"/>
              <w:left w:val="nil"/>
              <w:bottom w:val="nil"/>
              <w:right w:val="single" w:sz="4" w:space="0" w:color="auto"/>
            </w:tcBorders>
            <w:shd w:val="clear" w:color="auto" w:fill="auto"/>
            <w:noWrap/>
            <w:vAlign w:val="bottom"/>
            <w:hideMark/>
          </w:tcPr>
          <w:p w14:paraId="64854A81"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480" w:type="dxa"/>
            <w:tcBorders>
              <w:top w:val="nil"/>
              <w:left w:val="nil"/>
              <w:bottom w:val="nil"/>
              <w:right w:val="nil"/>
            </w:tcBorders>
            <w:shd w:val="clear" w:color="auto" w:fill="auto"/>
            <w:noWrap/>
            <w:vAlign w:val="bottom"/>
            <w:hideMark/>
          </w:tcPr>
          <w:p w14:paraId="68882FA5" w14:textId="77777777" w:rsidR="00357FBF" w:rsidRPr="00357FBF" w:rsidRDefault="00357FBF" w:rsidP="00357FBF">
            <w:pPr>
              <w:spacing w:after="0" w:line="240" w:lineRule="auto"/>
              <w:rPr>
                <w:rFonts w:eastAsia="Times New Roman" w:cs="Arial"/>
                <w:sz w:val="20"/>
                <w:szCs w:val="20"/>
                <w:lang w:eastAsia="es-ES"/>
              </w:rPr>
            </w:pPr>
          </w:p>
        </w:tc>
        <w:tc>
          <w:tcPr>
            <w:tcW w:w="1460" w:type="dxa"/>
            <w:tcBorders>
              <w:top w:val="nil"/>
              <w:left w:val="single" w:sz="4" w:space="0" w:color="auto"/>
              <w:bottom w:val="nil"/>
              <w:right w:val="single" w:sz="4" w:space="0" w:color="auto"/>
            </w:tcBorders>
            <w:shd w:val="clear" w:color="auto" w:fill="auto"/>
            <w:noWrap/>
            <w:vAlign w:val="bottom"/>
            <w:hideMark/>
          </w:tcPr>
          <w:p w14:paraId="4B98C5A7"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552" w:type="dxa"/>
            <w:tcBorders>
              <w:top w:val="nil"/>
              <w:left w:val="nil"/>
              <w:bottom w:val="nil"/>
              <w:right w:val="single" w:sz="4" w:space="0" w:color="auto"/>
            </w:tcBorders>
            <w:shd w:val="clear" w:color="auto" w:fill="auto"/>
            <w:noWrap/>
            <w:vAlign w:val="bottom"/>
            <w:hideMark/>
          </w:tcPr>
          <w:p w14:paraId="3EE3630C"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r>
      <w:tr w:rsidR="00357FBF" w:rsidRPr="00357FBF" w14:paraId="0B5B10B2" w14:textId="77777777" w:rsidTr="00DF027C">
        <w:trPr>
          <w:trHeight w:val="255"/>
        </w:trPr>
        <w:tc>
          <w:tcPr>
            <w:tcW w:w="2920" w:type="dxa"/>
            <w:tcBorders>
              <w:top w:val="nil"/>
              <w:left w:val="single" w:sz="4" w:space="0" w:color="auto"/>
              <w:bottom w:val="nil"/>
              <w:right w:val="single" w:sz="4" w:space="0" w:color="auto"/>
            </w:tcBorders>
            <w:shd w:val="clear" w:color="auto" w:fill="auto"/>
            <w:noWrap/>
            <w:vAlign w:val="bottom"/>
            <w:hideMark/>
          </w:tcPr>
          <w:p w14:paraId="381DD10C" w14:textId="77777777" w:rsidR="00357FBF" w:rsidRPr="00357FBF" w:rsidRDefault="00357FBF" w:rsidP="00357FBF">
            <w:pPr>
              <w:spacing w:after="0" w:line="240" w:lineRule="auto"/>
              <w:rPr>
                <w:rFonts w:eastAsia="Times New Roman" w:cs="Arial"/>
                <w:b/>
                <w:bCs/>
                <w:sz w:val="20"/>
                <w:szCs w:val="20"/>
                <w:lang w:eastAsia="es-ES"/>
              </w:rPr>
            </w:pPr>
            <w:r w:rsidRPr="00357FBF">
              <w:rPr>
                <w:rFonts w:eastAsia="Times New Roman" w:cs="Arial"/>
                <w:b/>
                <w:bCs/>
                <w:sz w:val="20"/>
                <w:szCs w:val="20"/>
                <w:lang w:eastAsia="es-ES"/>
              </w:rPr>
              <w:t>Ajustes por cambios de valor</w:t>
            </w:r>
          </w:p>
        </w:tc>
        <w:tc>
          <w:tcPr>
            <w:tcW w:w="1660" w:type="dxa"/>
            <w:tcBorders>
              <w:top w:val="nil"/>
              <w:left w:val="nil"/>
              <w:bottom w:val="nil"/>
              <w:right w:val="single" w:sz="4" w:space="0" w:color="auto"/>
            </w:tcBorders>
            <w:shd w:val="clear" w:color="auto" w:fill="auto"/>
            <w:noWrap/>
            <w:vAlign w:val="bottom"/>
            <w:hideMark/>
          </w:tcPr>
          <w:p w14:paraId="6AE98C01" w14:textId="77777777" w:rsidR="00357FBF" w:rsidRPr="00357FBF" w:rsidRDefault="00357FBF" w:rsidP="00357FBF">
            <w:pPr>
              <w:spacing w:after="0" w:line="240" w:lineRule="auto"/>
              <w:jc w:val="right"/>
              <w:rPr>
                <w:rFonts w:eastAsia="Times New Roman" w:cs="Arial"/>
                <w:sz w:val="20"/>
                <w:szCs w:val="20"/>
                <w:lang w:eastAsia="es-ES"/>
              </w:rPr>
            </w:pPr>
            <w:r w:rsidRPr="00357FBF">
              <w:rPr>
                <w:rFonts w:eastAsia="Times New Roman" w:cs="Arial"/>
                <w:sz w:val="20"/>
                <w:szCs w:val="20"/>
                <w:lang w:eastAsia="es-ES"/>
              </w:rPr>
              <w:t>152.634.154,40</w:t>
            </w:r>
          </w:p>
        </w:tc>
        <w:tc>
          <w:tcPr>
            <w:tcW w:w="1480" w:type="dxa"/>
            <w:tcBorders>
              <w:top w:val="nil"/>
              <w:left w:val="nil"/>
              <w:bottom w:val="nil"/>
              <w:right w:val="single" w:sz="4" w:space="0" w:color="auto"/>
            </w:tcBorders>
            <w:shd w:val="clear" w:color="000000" w:fill="FFFFFF"/>
            <w:noWrap/>
            <w:vAlign w:val="bottom"/>
            <w:hideMark/>
          </w:tcPr>
          <w:p w14:paraId="1CACE99E" w14:textId="1BCC399D" w:rsidR="00357FBF" w:rsidRPr="00357FBF" w:rsidRDefault="0016787A" w:rsidP="0016787A">
            <w:pPr>
              <w:spacing w:after="0" w:line="240" w:lineRule="auto"/>
              <w:jc w:val="center"/>
              <w:rPr>
                <w:rFonts w:eastAsia="Times New Roman" w:cs="Arial"/>
                <w:sz w:val="20"/>
                <w:szCs w:val="20"/>
                <w:lang w:eastAsia="es-ES"/>
              </w:rPr>
            </w:pPr>
            <w:r>
              <w:rPr>
                <w:rFonts w:eastAsia="Times New Roman" w:cs="Arial"/>
                <w:sz w:val="20"/>
                <w:szCs w:val="20"/>
                <w:lang w:eastAsia="es-ES"/>
              </w:rPr>
              <w:t>-</w:t>
            </w:r>
          </w:p>
        </w:tc>
        <w:tc>
          <w:tcPr>
            <w:tcW w:w="1460" w:type="dxa"/>
            <w:tcBorders>
              <w:top w:val="nil"/>
              <w:left w:val="nil"/>
              <w:bottom w:val="nil"/>
              <w:right w:val="single" w:sz="4" w:space="0" w:color="auto"/>
            </w:tcBorders>
            <w:shd w:val="clear" w:color="000000" w:fill="FFFFFF"/>
            <w:noWrap/>
            <w:vAlign w:val="bottom"/>
            <w:hideMark/>
          </w:tcPr>
          <w:p w14:paraId="308B1190" w14:textId="77777777" w:rsidR="00357FBF" w:rsidRPr="00357FBF" w:rsidRDefault="00357FBF" w:rsidP="00357FBF">
            <w:pPr>
              <w:spacing w:after="0" w:line="240" w:lineRule="auto"/>
              <w:jc w:val="right"/>
              <w:rPr>
                <w:rFonts w:eastAsia="Times New Roman" w:cs="Arial"/>
                <w:sz w:val="20"/>
                <w:szCs w:val="20"/>
                <w:lang w:eastAsia="es-ES"/>
              </w:rPr>
            </w:pPr>
            <w:r w:rsidRPr="00357FBF">
              <w:rPr>
                <w:rFonts w:eastAsia="Times New Roman" w:cs="Arial"/>
                <w:sz w:val="20"/>
                <w:szCs w:val="20"/>
                <w:lang w:eastAsia="es-ES"/>
              </w:rPr>
              <w:t>(5.403.787,80)</w:t>
            </w:r>
          </w:p>
        </w:tc>
        <w:tc>
          <w:tcPr>
            <w:tcW w:w="1552" w:type="dxa"/>
            <w:tcBorders>
              <w:top w:val="nil"/>
              <w:left w:val="nil"/>
              <w:bottom w:val="nil"/>
              <w:right w:val="single" w:sz="4" w:space="0" w:color="auto"/>
            </w:tcBorders>
            <w:shd w:val="clear" w:color="auto" w:fill="auto"/>
            <w:noWrap/>
            <w:vAlign w:val="bottom"/>
            <w:hideMark/>
          </w:tcPr>
          <w:p w14:paraId="622D9FDF" w14:textId="77777777" w:rsidR="00357FBF" w:rsidRPr="00357FBF" w:rsidRDefault="00357FBF" w:rsidP="00357FBF">
            <w:pPr>
              <w:spacing w:after="0" w:line="240" w:lineRule="auto"/>
              <w:jc w:val="right"/>
              <w:rPr>
                <w:rFonts w:eastAsia="Times New Roman" w:cs="Arial"/>
                <w:sz w:val="20"/>
                <w:szCs w:val="20"/>
                <w:lang w:eastAsia="es-ES"/>
              </w:rPr>
            </w:pPr>
            <w:r w:rsidRPr="00357FBF">
              <w:rPr>
                <w:rFonts w:eastAsia="Times New Roman" w:cs="Arial"/>
                <w:sz w:val="20"/>
                <w:szCs w:val="20"/>
                <w:lang w:eastAsia="es-ES"/>
              </w:rPr>
              <w:t>147.230.366,60</w:t>
            </w:r>
          </w:p>
        </w:tc>
      </w:tr>
      <w:tr w:rsidR="00357FBF" w:rsidRPr="00357FBF" w14:paraId="45EA7EC3" w14:textId="77777777" w:rsidTr="00DF027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F9C389B"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347822"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480" w:type="dxa"/>
            <w:tcBorders>
              <w:top w:val="nil"/>
              <w:left w:val="nil"/>
              <w:bottom w:val="single" w:sz="4" w:space="0" w:color="auto"/>
              <w:right w:val="nil"/>
            </w:tcBorders>
            <w:shd w:val="clear" w:color="auto" w:fill="auto"/>
            <w:noWrap/>
            <w:vAlign w:val="bottom"/>
            <w:hideMark/>
          </w:tcPr>
          <w:p w14:paraId="62F1AAC8"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C31B337"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c>
          <w:tcPr>
            <w:tcW w:w="1552" w:type="dxa"/>
            <w:tcBorders>
              <w:top w:val="nil"/>
              <w:left w:val="nil"/>
              <w:bottom w:val="single" w:sz="4" w:space="0" w:color="auto"/>
              <w:right w:val="single" w:sz="4" w:space="0" w:color="auto"/>
            </w:tcBorders>
            <w:shd w:val="clear" w:color="auto" w:fill="auto"/>
            <w:noWrap/>
            <w:vAlign w:val="bottom"/>
            <w:hideMark/>
          </w:tcPr>
          <w:p w14:paraId="49B528C9" w14:textId="77777777" w:rsidR="00357FBF" w:rsidRPr="00357FBF" w:rsidRDefault="00357FBF" w:rsidP="00357FBF">
            <w:pPr>
              <w:spacing w:after="0" w:line="240" w:lineRule="auto"/>
              <w:rPr>
                <w:rFonts w:eastAsia="Times New Roman" w:cs="Arial"/>
                <w:sz w:val="20"/>
                <w:szCs w:val="20"/>
                <w:lang w:eastAsia="es-ES"/>
              </w:rPr>
            </w:pPr>
            <w:r w:rsidRPr="00357FBF">
              <w:rPr>
                <w:rFonts w:eastAsia="Times New Roman" w:cs="Arial"/>
                <w:sz w:val="20"/>
                <w:szCs w:val="20"/>
                <w:lang w:eastAsia="es-ES"/>
              </w:rPr>
              <w:t> </w:t>
            </w:r>
          </w:p>
        </w:tc>
      </w:tr>
    </w:tbl>
    <w:p w14:paraId="3A54627C" w14:textId="77777777" w:rsidR="00BD0ACD" w:rsidRDefault="00BD0ACD" w:rsidP="00BD0ACD">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9072" w:type="dxa"/>
        <w:tblCellMar>
          <w:left w:w="70" w:type="dxa"/>
          <w:right w:w="70" w:type="dxa"/>
        </w:tblCellMar>
        <w:tblLook w:val="04A0" w:firstRow="1" w:lastRow="0" w:firstColumn="1" w:lastColumn="0" w:noHBand="0" w:noVBand="1"/>
      </w:tblPr>
      <w:tblGrid>
        <w:gridCol w:w="2920"/>
        <w:gridCol w:w="1660"/>
        <w:gridCol w:w="1480"/>
        <w:gridCol w:w="1524"/>
        <w:gridCol w:w="1488"/>
      </w:tblGrid>
      <w:tr w:rsidR="0022690C" w:rsidRPr="0022690C" w14:paraId="776206BB" w14:textId="77777777" w:rsidTr="00DF027C">
        <w:trPr>
          <w:trHeight w:val="285"/>
        </w:trPr>
        <w:tc>
          <w:tcPr>
            <w:tcW w:w="2920" w:type="dxa"/>
            <w:tcBorders>
              <w:top w:val="nil"/>
              <w:left w:val="nil"/>
              <w:bottom w:val="nil"/>
              <w:right w:val="nil"/>
            </w:tcBorders>
            <w:shd w:val="clear" w:color="auto" w:fill="auto"/>
            <w:noWrap/>
            <w:vAlign w:val="bottom"/>
            <w:hideMark/>
          </w:tcPr>
          <w:p w14:paraId="5252F601" w14:textId="77777777" w:rsidR="0022690C" w:rsidRPr="0022690C" w:rsidRDefault="0022690C" w:rsidP="0022690C">
            <w:pPr>
              <w:spacing w:after="0" w:line="240" w:lineRule="auto"/>
              <w:rPr>
                <w:rFonts w:eastAsia="Times New Roman" w:cs="Arial"/>
                <w:b/>
                <w:bCs/>
                <w:sz w:val="22"/>
                <w:lang w:eastAsia="es-ES"/>
              </w:rPr>
            </w:pPr>
            <w:r w:rsidRPr="0022690C">
              <w:rPr>
                <w:rFonts w:eastAsia="Times New Roman" w:cs="Arial"/>
                <w:b/>
                <w:bCs/>
                <w:sz w:val="22"/>
                <w:lang w:eastAsia="es-ES"/>
              </w:rPr>
              <w:t>Ejercicio 2019</w:t>
            </w:r>
          </w:p>
        </w:tc>
        <w:tc>
          <w:tcPr>
            <w:tcW w:w="1660" w:type="dxa"/>
            <w:tcBorders>
              <w:top w:val="nil"/>
              <w:left w:val="nil"/>
              <w:bottom w:val="single" w:sz="4" w:space="0" w:color="auto"/>
              <w:right w:val="nil"/>
            </w:tcBorders>
            <w:shd w:val="clear" w:color="auto" w:fill="auto"/>
            <w:noWrap/>
            <w:vAlign w:val="bottom"/>
            <w:hideMark/>
          </w:tcPr>
          <w:p w14:paraId="53B45EBA" w14:textId="77777777" w:rsidR="0022690C" w:rsidRPr="0022690C" w:rsidRDefault="0022690C" w:rsidP="0022690C">
            <w:pPr>
              <w:spacing w:after="0" w:line="240" w:lineRule="auto"/>
              <w:rPr>
                <w:rFonts w:eastAsia="Times New Roman" w:cs="Arial"/>
                <w:b/>
                <w:bCs/>
                <w:sz w:val="22"/>
                <w:lang w:eastAsia="es-ES"/>
              </w:rPr>
            </w:pPr>
          </w:p>
        </w:tc>
        <w:tc>
          <w:tcPr>
            <w:tcW w:w="1480" w:type="dxa"/>
            <w:tcBorders>
              <w:top w:val="nil"/>
              <w:left w:val="nil"/>
              <w:bottom w:val="single" w:sz="4" w:space="0" w:color="auto"/>
              <w:right w:val="nil"/>
            </w:tcBorders>
            <w:shd w:val="clear" w:color="auto" w:fill="auto"/>
            <w:noWrap/>
            <w:vAlign w:val="bottom"/>
            <w:hideMark/>
          </w:tcPr>
          <w:p w14:paraId="49A2E1A8"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524" w:type="dxa"/>
            <w:tcBorders>
              <w:top w:val="nil"/>
              <w:left w:val="nil"/>
              <w:bottom w:val="single" w:sz="4" w:space="0" w:color="auto"/>
              <w:right w:val="nil"/>
            </w:tcBorders>
            <w:shd w:val="clear" w:color="auto" w:fill="auto"/>
            <w:noWrap/>
            <w:vAlign w:val="bottom"/>
            <w:hideMark/>
          </w:tcPr>
          <w:p w14:paraId="08B7CCF1"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488" w:type="dxa"/>
            <w:tcBorders>
              <w:top w:val="nil"/>
              <w:left w:val="nil"/>
              <w:bottom w:val="single" w:sz="4" w:space="0" w:color="auto"/>
              <w:right w:val="nil"/>
            </w:tcBorders>
            <w:shd w:val="clear" w:color="auto" w:fill="auto"/>
            <w:noWrap/>
            <w:vAlign w:val="bottom"/>
            <w:hideMark/>
          </w:tcPr>
          <w:p w14:paraId="0E3DE40A"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r>
      <w:tr w:rsidR="00DF027C" w:rsidRPr="0022690C" w14:paraId="1AF19094" w14:textId="77777777" w:rsidTr="00DF027C">
        <w:trPr>
          <w:trHeight w:val="255"/>
        </w:trPr>
        <w:tc>
          <w:tcPr>
            <w:tcW w:w="2920" w:type="dxa"/>
            <w:tcBorders>
              <w:top w:val="nil"/>
              <w:left w:val="nil"/>
              <w:bottom w:val="nil"/>
              <w:right w:val="single" w:sz="4" w:space="0" w:color="auto"/>
            </w:tcBorders>
            <w:shd w:val="clear" w:color="auto" w:fill="auto"/>
            <w:noWrap/>
            <w:vAlign w:val="bottom"/>
            <w:hideMark/>
          </w:tcPr>
          <w:p w14:paraId="06A92F7F" w14:textId="77777777" w:rsidR="00DF027C" w:rsidRPr="0022690C" w:rsidRDefault="00DF027C" w:rsidP="0022690C">
            <w:pPr>
              <w:spacing w:after="0" w:line="240" w:lineRule="auto"/>
              <w:rPr>
                <w:rFonts w:ascii="Times New Roman" w:eastAsia="Times New Roman" w:hAnsi="Times New Roman" w:cs="Times New Roman"/>
                <w:sz w:val="20"/>
                <w:szCs w:val="20"/>
                <w:lang w:eastAsia="es-ES"/>
              </w:rPr>
            </w:pPr>
          </w:p>
        </w:tc>
        <w:tc>
          <w:tcPr>
            <w:tcW w:w="61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1B98" w14:textId="610B4EC3" w:rsidR="00DF027C" w:rsidRPr="0022690C" w:rsidRDefault="00DF027C" w:rsidP="00DF027C">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Euros</w:t>
            </w:r>
          </w:p>
        </w:tc>
      </w:tr>
      <w:tr w:rsidR="0022690C" w:rsidRPr="0022690C" w14:paraId="4D6BECBF" w14:textId="77777777" w:rsidTr="00DF027C">
        <w:trPr>
          <w:trHeight w:val="255"/>
        </w:trPr>
        <w:tc>
          <w:tcPr>
            <w:tcW w:w="2920" w:type="dxa"/>
            <w:tcBorders>
              <w:top w:val="nil"/>
              <w:left w:val="nil"/>
              <w:bottom w:val="nil"/>
              <w:right w:val="nil"/>
            </w:tcBorders>
            <w:shd w:val="clear" w:color="auto" w:fill="auto"/>
            <w:noWrap/>
            <w:vAlign w:val="bottom"/>
            <w:hideMark/>
          </w:tcPr>
          <w:p w14:paraId="404448FE"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2034" w14:textId="77777777" w:rsidR="0022690C" w:rsidRPr="0022690C" w:rsidRDefault="0022690C" w:rsidP="0022690C">
            <w:pPr>
              <w:spacing w:after="0" w:line="240" w:lineRule="auto"/>
              <w:jc w:val="center"/>
              <w:rPr>
                <w:rFonts w:eastAsia="Times New Roman" w:cs="Arial"/>
                <w:b/>
                <w:bCs/>
                <w:sz w:val="20"/>
                <w:szCs w:val="20"/>
                <w:lang w:eastAsia="es-ES"/>
              </w:rPr>
            </w:pPr>
            <w:r w:rsidRPr="0022690C">
              <w:rPr>
                <w:rFonts w:eastAsia="Times New Roman" w:cs="Arial"/>
                <w:b/>
                <w:bCs/>
                <w:sz w:val="20"/>
                <w:szCs w:val="20"/>
                <w:lang w:eastAsia="es-ES"/>
              </w:rPr>
              <w:t>Saldo al 31.12.18</w:t>
            </w:r>
          </w:p>
        </w:tc>
        <w:tc>
          <w:tcPr>
            <w:tcW w:w="1480" w:type="dxa"/>
            <w:tcBorders>
              <w:top w:val="single" w:sz="4" w:space="0" w:color="auto"/>
              <w:left w:val="nil"/>
              <w:bottom w:val="single" w:sz="4" w:space="0" w:color="auto"/>
              <w:right w:val="nil"/>
            </w:tcBorders>
            <w:shd w:val="clear" w:color="auto" w:fill="auto"/>
            <w:noWrap/>
            <w:vAlign w:val="bottom"/>
            <w:hideMark/>
          </w:tcPr>
          <w:p w14:paraId="242D1BE5" w14:textId="77777777" w:rsidR="0022690C" w:rsidRPr="0022690C" w:rsidRDefault="0022690C" w:rsidP="0022690C">
            <w:pPr>
              <w:spacing w:after="0" w:line="240" w:lineRule="auto"/>
              <w:jc w:val="center"/>
              <w:rPr>
                <w:rFonts w:eastAsia="Times New Roman" w:cs="Arial"/>
                <w:b/>
                <w:bCs/>
                <w:sz w:val="20"/>
                <w:szCs w:val="20"/>
                <w:lang w:eastAsia="es-ES"/>
              </w:rPr>
            </w:pPr>
            <w:r w:rsidRPr="0022690C">
              <w:rPr>
                <w:rFonts w:eastAsia="Times New Roman" w:cs="Arial"/>
                <w:b/>
                <w:bCs/>
                <w:sz w:val="20"/>
                <w:szCs w:val="20"/>
                <w:lang w:eastAsia="es-ES"/>
              </w:rPr>
              <w:t>Plusvalías</w:t>
            </w:r>
          </w:p>
        </w:tc>
        <w:tc>
          <w:tcPr>
            <w:tcW w:w="1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F216" w14:textId="77777777" w:rsidR="0022690C" w:rsidRPr="0022690C" w:rsidRDefault="0022690C" w:rsidP="0022690C">
            <w:pPr>
              <w:spacing w:after="0" w:line="240" w:lineRule="auto"/>
              <w:jc w:val="center"/>
              <w:rPr>
                <w:rFonts w:eastAsia="Times New Roman" w:cs="Arial"/>
                <w:b/>
                <w:bCs/>
                <w:sz w:val="20"/>
                <w:szCs w:val="20"/>
                <w:lang w:eastAsia="es-ES"/>
              </w:rPr>
            </w:pPr>
            <w:r w:rsidRPr="0022690C">
              <w:rPr>
                <w:rFonts w:eastAsia="Times New Roman" w:cs="Arial"/>
                <w:b/>
                <w:bCs/>
                <w:sz w:val="20"/>
                <w:szCs w:val="20"/>
                <w:lang w:eastAsia="es-ES"/>
              </w:rPr>
              <w:t>Minusvalías</w:t>
            </w:r>
          </w:p>
        </w:tc>
        <w:tc>
          <w:tcPr>
            <w:tcW w:w="1488" w:type="dxa"/>
            <w:tcBorders>
              <w:top w:val="single" w:sz="4" w:space="0" w:color="auto"/>
              <w:left w:val="nil"/>
              <w:bottom w:val="single" w:sz="4" w:space="0" w:color="auto"/>
              <w:right w:val="single" w:sz="4" w:space="0" w:color="auto"/>
            </w:tcBorders>
            <w:shd w:val="clear" w:color="auto" w:fill="auto"/>
            <w:noWrap/>
            <w:vAlign w:val="bottom"/>
            <w:hideMark/>
          </w:tcPr>
          <w:p w14:paraId="53BB2449" w14:textId="77777777" w:rsidR="0022690C" w:rsidRPr="0022690C" w:rsidRDefault="0022690C" w:rsidP="0022690C">
            <w:pPr>
              <w:spacing w:after="0" w:line="240" w:lineRule="auto"/>
              <w:jc w:val="center"/>
              <w:rPr>
                <w:rFonts w:eastAsia="Times New Roman" w:cs="Arial"/>
                <w:b/>
                <w:bCs/>
                <w:sz w:val="20"/>
                <w:szCs w:val="20"/>
                <w:lang w:eastAsia="es-ES"/>
              </w:rPr>
            </w:pPr>
            <w:r w:rsidRPr="0022690C">
              <w:rPr>
                <w:rFonts w:eastAsia="Times New Roman" w:cs="Arial"/>
                <w:b/>
                <w:bCs/>
                <w:sz w:val="20"/>
                <w:szCs w:val="20"/>
                <w:lang w:eastAsia="es-ES"/>
              </w:rPr>
              <w:t>Saldo al 31.12.19</w:t>
            </w:r>
          </w:p>
        </w:tc>
      </w:tr>
      <w:tr w:rsidR="0022690C" w:rsidRPr="0022690C" w14:paraId="05629CE4" w14:textId="77777777" w:rsidTr="00DF027C">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14:paraId="40662843"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660" w:type="dxa"/>
            <w:tcBorders>
              <w:top w:val="nil"/>
              <w:left w:val="nil"/>
              <w:bottom w:val="nil"/>
              <w:right w:val="single" w:sz="4" w:space="0" w:color="auto"/>
            </w:tcBorders>
            <w:shd w:val="clear" w:color="auto" w:fill="auto"/>
            <w:noWrap/>
            <w:vAlign w:val="bottom"/>
            <w:hideMark/>
          </w:tcPr>
          <w:p w14:paraId="2A237A1E"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480" w:type="dxa"/>
            <w:tcBorders>
              <w:top w:val="nil"/>
              <w:left w:val="nil"/>
              <w:bottom w:val="nil"/>
              <w:right w:val="nil"/>
            </w:tcBorders>
            <w:shd w:val="clear" w:color="auto" w:fill="auto"/>
            <w:noWrap/>
            <w:vAlign w:val="bottom"/>
            <w:hideMark/>
          </w:tcPr>
          <w:p w14:paraId="2E109A54" w14:textId="77777777" w:rsidR="0022690C" w:rsidRPr="0022690C" w:rsidRDefault="0022690C" w:rsidP="0022690C">
            <w:pPr>
              <w:spacing w:after="0" w:line="240" w:lineRule="auto"/>
              <w:rPr>
                <w:rFonts w:eastAsia="Times New Roman" w:cs="Arial"/>
                <w:sz w:val="20"/>
                <w:szCs w:val="20"/>
                <w:lang w:eastAsia="es-ES"/>
              </w:rPr>
            </w:pPr>
          </w:p>
        </w:tc>
        <w:tc>
          <w:tcPr>
            <w:tcW w:w="1524" w:type="dxa"/>
            <w:tcBorders>
              <w:top w:val="nil"/>
              <w:left w:val="single" w:sz="4" w:space="0" w:color="auto"/>
              <w:bottom w:val="nil"/>
              <w:right w:val="single" w:sz="4" w:space="0" w:color="auto"/>
            </w:tcBorders>
            <w:shd w:val="clear" w:color="auto" w:fill="auto"/>
            <w:noWrap/>
            <w:vAlign w:val="bottom"/>
            <w:hideMark/>
          </w:tcPr>
          <w:p w14:paraId="4DFD62A7"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488" w:type="dxa"/>
            <w:tcBorders>
              <w:top w:val="nil"/>
              <w:left w:val="nil"/>
              <w:bottom w:val="nil"/>
              <w:right w:val="single" w:sz="4" w:space="0" w:color="auto"/>
            </w:tcBorders>
            <w:shd w:val="clear" w:color="auto" w:fill="auto"/>
            <w:noWrap/>
            <w:vAlign w:val="bottom"/>
            <w:hideMark/>
          </w:tcPr>
          <w:p w14:paraId="0CBE8E37"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r>
      <w:tr w:rsidR="0022690C" w:rsidRPr="0022690C" w14:paraId="5D78FED8" w14:textId="77777777" w:rsidTr="00DF027C">
        <w:trPr>
          <w:trHeight w:val="255"/>
        </w:trPr>
        <w:tc>
          <w:tcPr>
            <w:tcW w:w="2920" w:type="dxa"/>
            <w:tcBorders>
              <w:top w:val="nil"/>
              <w:left w:val="single" w:sz="4" w:space="0" w:color="auto"/>
              <w:bottom w:val="nil"/>
              <w:right w:val="single" w:sz="4" w:space="0" w:color="auto"/>
            </w:tcBorders>
            <w:shd w:val="clear" w:color="auto" w:fill="auto"/>
            <w:noWrap/>
            <w:vAlign w:val="bottom"/>
            <w:hideMark/>
          </w:tcPr>
          <w:p w14:paraId="33298031" w14:textId="77777777" w:rsidR="0022690C" w:rsidRPr="0022690C" w:rsidRDefault="0022690C" w:rsidP="0022690C">
            <w:pPr>
              <w:spacing w:after="0" w:line="240" w:lineRule="auto"/>
              <w:rPr>
                <w:rFonts w:eastAsia="Times New Roman" w:cs="Arial"/>
                <w:b/>
                <w:bCs/>
                <w:sz w:val="20"/>
                <w:szCs w:val="20"/>
                <w:lang w:eastAsia="es-ES"/>
              </w:rPr>
            </w:pPr>
            <w:r w:rsidRPr="0022690C">
              <w:rPr>
                <w:rFonts w:eastAsia="Times New Roman" w:cs="Arial"/>
                <w:b/>
                <w:bCs/>
                <w:sz w:val="20"/>
                <w:szCs w:val="20"/>
                <w:lang w:eastAsia="es-ES"/>
              </w:rPr>
              <w:t>Ajustes por cambios de valor</w:t>
            </w:r>
          </w:p>
        </w:tc>
        <w:tc>
          <w:tcPr>
            <w:tcW w:w="1660" w:type="dxa"/>
            <w:tcBorders>
              <w:top w:val="nil"/>
              <w:left w:val="nil"/>
              <w:bottom w:val="nil"/>
              <w:right w:val="single" w:sz="4" w:space="0" w:color="auto"/>
            </w:tcBorders>
            <w:shd w:val="clear" w:color="auto" w:fill="auto"/>
            <w:noWrap/>
            <w:vAlign w:val="bottom"/>
            <w:hideMark/>
          </w:tcPr>
          <w:p w14:paraId="5A279577" w14:textId="77777777" w:rsidR="0022690C" w:rsidRPr="0022690C" w:rsidRDefault="0022690C" w:rsidP="0022690C">
            <w:pPr>
              <w:spacing w:after="0" w:line="240" w:lineRule="auto"/>
              <w:jc w:val="right"/>
              <w:rPr>
                <w:rFonts w:eastAsia="Times New Roman" w:cs="Arial"/>
                <w:sz w:val="20"/>
                <w:szCs w:val="20"/>
                <w:lang w:eastAsia="es-ES"/>
              </w:rPr>
            </w:pPr>
            <w:r w:rsidRPr="0022690C">
              <w:rPr>
                <w:rFonts w:eastAsia="Times New Roman" w:cs="Arial"/>
                <w:sz w:val="20"/>
                <w:szCs w:val="20"/>
                <w:lang w:eastAsia="es-ES"/>
              </w:rPr>
              <w:t>123.319.801,09</w:t>
            </w:r>
          </w:p>
        </w:tc>
        <w:tc>
          <w:tcPr>
            <w:tcW w:w="1480" w:type="dxa"/>
            <w:tcBorders>
              <w:top w:val="nil"/>
              <w:left w:val="nil"/>
              <w:bottom w:val="nil"/>
              <w:right w:val="single" w:sz="4" w:space="0" w:color="auto"/>
            </w:tcBorders>
            <w:shd w:val="clear" w:color="000000" w:fill="FFFFFF"/>
            <w:noWrap/>
            <w:vAlign w:val="bottom"/>
            <w:hideMark/>
          </w:tcPr>
          <w:p w14:paraId="3B9DE2E1" w14:textId="77777777" w:rsidR="0022690C" w:rsidRPr="0022690C" w:rsidRDefault="0022690C" w:rsidP="0022690C">
            <w:pPr>
              <w:spacing w:after="0" w:line="240" w:lineRule="auto"/>
              <w:jc w:val="right"/>
              <w:rPr>
                <w:rFonts w:eastAsia="Times New Roman" w:cs="Arial"/>
                <w:sz w:val="20"/>
                <w:szCs w:val="20"/>
                <w:lang w:eastAsia="es-ES"/>
              </w:rPr>
            </w:pPr>
            <w:r w:rsidRPr="0022690C">
              <w:rPr>
                <w:rFonts w:eastAsia="Times New Roman" w:cs="Arial"/>
                <w:sz w:val="20"/>
                <w:szCs w:val="20"/>
                <w:lang w:eastAsia="es-ES"/>
              </w:rPr>
              <w:t>29.314.353,31</w:t>
            </w:r>
          </w:p>
        </w:tc>
        <w:tc>
          <w:tcPr>
            <w:tcW w:w="1524" w:type="dxa"/>
            <w:tcBorders>
              <w:top w:val="nil"/>
              <w:left w:val="nil"/>
              <w:bottom w:val="nil"/>
              <w:right w:val="nil"/>
            </w:tcBorders>
            <w:shd w:val="clear" w:color="auto" w:fill="auto"/>
            <w:noWrap/>
            <w:vAlign w:val="bottom"/>
            <w:hideMark/>
          </w:tcPr>
          <w:p w14:paraId="331593C0" w14:textId="77777777" w:rsidR="0022690C" w:rsidRPr="0022690C" w:rsidRDefault="0022690C" w:rsidP="0022690C">
            <w:pPr>
              <w:spacing w:after="0" w:line="240" w:lineRule="auto"/>
              <w:jc w:val="center"/>
              <w:rPr>
                <w:rFonts w:eastAsia="Times New Roman" w:cs="Arial"/>
                <w:sz w:val="20"/>
                <w:szCs w:val="20"/>
                <w:lang w:eastAsia="es-ES"/>
              </w:rPr>
            </w:pPr>
            <w:r w:rsidRPr="0022690C">
              <w:rPr>
                <w:rFonts w:eastAsia="Times New Roman" w:cs="Arial"/>
                <w:sz w:val="20"/>
                <w:szCs w:val="20"/>
                <w:lang w:eastAsia="es-ES"/>
              </w:rPr>
              <w:t>-</w:t>
            </w:r>
          </w:p>
        </w:tc>
        <w:tc>
          <w:tcPr>
            <w:tcW w:w="1488" w:type="dxa"/>
            <w:tcBorders>
              <w:top w:val="nil"/>
              <w:left w:val="single" w:sz="4" w:space="0" w:color="auto"/>
              <w:bottom w:val="nil"/>
              <w:right w:val="single" w:sz="4" w:space="0" w:color="auto"/>
            </w:tcBorders>
            <w:shd w:val="clear" w:color="auto" w:fill="auto"/>
            <w:noWrap/>
            <w:vAlign w:val="bottom"/>
            <w:hideMark/>
          </w:tcPr>
          <w:p w14:paraId="5DD20790" w14:textId="77777777" w:rsidR="0022690C" w:rsidRPr="0022690C" w:rsidRDefault="0022690C" w:rsidP="0022690C">
            <w:pPr>
              <w:spacing w:after="0" w:line="240" w:lineRule="auto"/>
              <w:jc w:val="right"/>
              <w:rPr>
                <w:rFonts w:eastAsia="Times New Roman" w:cs="Arial"/>
                <w:sz w:val="20"/>
                <w:szCs w:val="20"/>
                <w:lang w:eastAsia="es-ES"/>
              </w:rPr>
            </w:pPr>
            <w:r w:rsidRPr="0022690C">
              <w:rPr>
                <w:rFonts w:eastAsia="Times New Roman" w:cs="Arial"/>
                <w:sz w:val="20"/>
                <w:szCs w:val="20"/>
                <w:lang w:eastAsia="es-ES"/>
              </w:rPr>
              <w:t>152.634.154,40</w:t>
            </w:r>
          </w:p>
        </w:tc>
      </w:tr>
      <w:tr w:rsidR="0022690C" w:rsidRPr="0022690C" w14:paraId="267F18F2" w14:textId="77777777" w:rsidTr="00DF027C">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05D59504"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660" w:type="dxa"/>
            <w:tcBorders>
              <w:top w:val="nil"/>
              <w:left w:val="nil"/>
              <w:bottom w:val="single" w:sz="4" w:space="0" w:color="auto"/>
              <w:right w:val="single" w:sz="4" w:space="0" w:color="auto"/>
            </w:tcBorders>
            <w:shd w:val="clear" w:color="auto" w:fill="auto"/>
            <w:noWrap/>
            <w:vAlign w:val="bottom"/>
            <w:hideMark/>
          </w:tcPr>
          <w:p w14:paraId="6DC2672F"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480" w:type="dxa"/>
            <w:tcBorders>
              <w:top w:val="nil"/>
              <w:left w:val="nil"/>
              <w:bottom w:val="single" w:sz="4" w:space="0" w:color="auto"/>
              <w:right w:val="nil"/>
            </w:tcBorders>
            <w:shd w:val="clear" w:color="auto" w:fill="auto"/>
            <w:noWrap/>
            <w:vAlign w:val="bottom"/>
            <w:hideMark/>
          </w:tcPr>
          <w:p w14:paraId="55FD60C5"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14:paraId="74765894"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c>
          <w:tcPr>
            <w:tcW w:w="1488" w:type="dxa"/>
            <w:tcBorders>
              <w:top w:val="nil"/>
              <w:left w:val="nil"/>
              <w:bottom w:val="single" w:sz="4" w:space="0" w:color="auto"/>
              <w:right w:val="single" w:sz="4" w:space="0" w:color="auto"/>
            </w:tcBorders>
            <w:shd w:val="clear" w:color="auto" w:fill="auto"/>
            <w:noWrap/>
            <w:vAlign w:val="bottom"/>
            <w:hideMark/>
          </w:tcPr>
          <w:p w14:paraId="7B311EFF" w14:textId="77777777" w:rsidR="0022690C" w:rsidRPr="0022690C" w:rsidRDefault="0022690C" w:rsidP="0022690C">
            <w:pPr>
              <w:spacing w:after="0" w:line="240" w:lineRule="auto"/>
              <w:rPr>
                <w:rFonts w:eastAsia="Times New Roman" w:cs="Arial"/>
                <w:sz w:val="20"/>
                <w:szCs w:val="20"/>
                <w:lang w:eastAsia="es-ES"/>
              </w:rPr>
            </w:pPr>
            <w:r w:rsidRPr="0022690C">
              <w:rPr>
                <w:rFonts w:eastAsia="Times New Roman" w:cs="Arial"/>
                <w:sz w:val="20"/>
                <w:szCs w:val="20"/>
                <w:lang w:eastAsia="es-ES"/>
              </w:rPr>
              <w:t> </w:t>
            </w:r>
          </w:p>
        </w:tc>
      </w:tr>
      <w:tr w:rsidR="0022690C" w:rsidRPr="0022690C" w14:paraId="54267006" w14:textId="77777777" w:rsidTr="00DF027C">
        <w:trPr>
          <w:trHeight w:val="255"/>
        </w:trPr>
        <w:tc>
          <w:tcPr>
            <w:tcW w:w="2920" w:type="dxa"/>
            <w:tcBorders>
              <w:top w:val="nil"/>
              <w:left w:val="nil"/>
              <w:bottom w:val="nil"/>
              <w:right w:val="nil"/>
            </w:tcBorders>
            <w:shd w:val="clear" w:color="auto" w:fill="auto"/>
            <w:noWrap/>
            <w:vAlign w:val="bottom"/>
            <w:hideMark/>
          </w:tcPr>
          <w:p w14:paraId="74ECBC93" w14:textId="77777777" w:rsidR="0022690C" w:rsidRPr="0022690C" w:rsidRDefault="0022690C" w:rsidP="0022690C">
            <w:pPr>
              <w:spacing w:after="0" w:line="240" w:lineRule="auto"/>
              <w:rPr>
                <w:rFonts w:eastAsia="Times New Roman" w:cs="Arial"/>
                <w:sz w:val="20"/>
                <w:szCs w:val="20"/>
                <w:lang w:eastAsia="es-ES"/>
              </w:rPr>
            </w:pPr>
          </w:p>
        </w:tc>
        <w:tc>
          <w:tcPr>
            <w:tcW w:w="1660" w:type="dxa"/>
            <w:tcBorders>
              <w:top w:val="nil"/>
              <w:left w:val="nil"/>
              <w:bottom w:val="nil"/>
              <w:right w:val="nil"/>
            </w:tcBorders>
            <w:shd w:val="clear" w:color="auto" w:fill="auto"/>
            <w:noWrap/>
            <w:vAlign w:val="bottom"/>
            <w:hideMark/>
          </w:tcPr>
          <w:p w14:paraId="390B4A3D"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480" w:type="dxa"/>
            <w:tcBorders>
              <w:top w:val="nil"/>
              <w:left w:val="nil"/>
              <w:bottom w:val="nil"/>
              <w:right w:val="nil"/>
            </w:tcBorders>
            <w:shd w:val="clear" w:color="auto" w:fill="auto"/>
            <w:noWrap/>
            <w:vAlign w:val="bottom"/>
            <w:hideMark/>
          </w:tcPr>
          <w:p w14:paraId="012BE34D"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524" w:type="dxa"/>
            <w:tcBorders>
              <w:top w:val="nil"/>
              <w:left w:val="nil"/>
              <w:bottom w:val="nil"/>
              <w:right w:val="nil"/>
            </w:tcBorders>
            <w:shd w:val="clear" w:color="auto" w:fill="auto"/>
            <w:noWrap/>
            <w:vAlign w:val="bottom"/>
            <w:hideMark/>
          </w:tcPr>
          <w:p w14:paraId="0BBBABFC"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c>
          <w:tcPr>
            <w:tcW w:w="1488" w:type="dxa"/>
            <w:tcBorders>
              <w:top w:val="nil"/>
              <w:left w:val="nil"/>
              <w:bottom w:val="nil"/>
              <w:right w:val="nil"/>
            </w:tcBorders>
            <w:shd w:val="clear" w:color="auto" w:fill="auto"/>
            <w:noWrap/>
            <w:vAlign w:val="bottom"/>
            <w:hideMark/>
          </w:tcPr>
          <w:p w14:paraId="39C1A011" w14:textId="77777777" w:rsidR="0022690C" w:rsidRPr="0022690C" w:rsidRDefault="0022690C" w:rsidP="0022690C">
            <w:pPr>
              <w:spacing w:after="0" w:line="240" w:lineRule="auto"/>
              <w:rPr>
                <w:rFonts w:ascii="Times New Roman" w:eastAsia="Times New Roman" w:hAnsi="Times New Roman" w:cs="Times New Roman"/>
                <w:sz w:val="20"/>
                <w:szCs w:val="20"/>
                <w:lang w:eastAsia="es-ES"/>
              </w:rPr>
            </w:pPr>
          </w:p>
        </w:tc>
      </w:tr>
    </w:tbl>
    <w:p w14:paraId="11D90C4C" w14:textId="77777777" w:rsidR="00712336" w:rsidRDefault="00712336"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4EB9702A" w14:textId="2F0F835F" w:rsidR="00C24F43" w:rsidRPr="008F62C6" w:rsidRDefault="006A2DBE" w:rsidP="00C24F43">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Pr>
          <w:rFonts w:eastAsia="Batang" w:cs="Times New Roman"/>
          <w:szCs w:val="24"/>
          <w:lang w:val="es-ES_tradnl" w:eastAsia="es-ES"/>
        </w:rPr>
        <w:t>Al cierre del ejercicio 2020</w:t>
      </w:r>
      <w:r w:rsidR="00C24F43" w:rsidRPr="008F62C6">
        <w:rPr>
          <w:rFonts w:eastAsia="Batang" w:cs="Times New Roman"/>
          <w:szCs w:val="24"/>
          <w:lang w:val="es-ES_tradnl" w:eastAsia="es-ES"/>
        </w:rPr>
        <w:t xml:space="preserve">, la valoración de la cartera a valor razonable </w:t>
      </w:r>
      <w:r w:rsidR="00C24F43">
        <w:rPr>
          <w:rFonts w:eastAsia="Batang" w:cs="Times New Roman"/>
          <w:szCs w:val="24"/>
          <w:lang w:val="es-ES_tradnl" w:eastAsia="es-ES"/>
        </w:rPr>
        <w:t xml:space="preserve">ha supuesto </w:t>
      </w:r>
      <w:r>
        <w:rPr>
          <w:rFonts w:eastAsia="Batang" w:cs="Times New Roman"/>
          <w:szCs w:val="24"/>
          <w:lang w:val="es-ES_tradnl" w:eastAsia="es-ES"/>
        </w:rPr>
        <w:t>un ajuste negativo</w:t>
      </w:r>
      <w:r w:rsidR="00C24F43" w:rsidRPr="008F62C6">
        <w:rPr>
          <w:rFonts w:eastAsia="Batang" w:cs="Times New Roman"/>
          <w:szCs w:val="24"/>
          <w:lang w:val="es-ES_tradnl" w:eastAsia="es-ES"/>
        </w:rPr>
        <w:t xml:space="preserve"> de </w:t>
      </w:r>
      <w:r>
        <w:rPr>
          <w:rFonts w:eastAsia="Batang" w:cs="Times New Roman"/>
          <w:szCs w:val="24"/>
          <w:lang w:val="es-ES_tradnl" w:eastAsia="es-ES"/>
        </w:rPr>
        <w:t>5.403.787,80</w:t>
      </w:r>
      <w:r w:rsidR="00F61EA2" w:rsidRPr="0069321D">
        <w:rPr>
          <w:rFonts w:eastAsia="Batang" w:cs="Times New Roman"/>
          <w:szCs w:val="24"/>
          <w:lang w:val="es-ES_tradnl" w:eastAsia="es-ES"/>
        </w:rPr>
        <w:t xml:space="preserve"> euros (véase Nota 5.1).</w:t>
      </w:r>
    </w:p>
    <w:p w14:paraId="3B10C9B5" w14:textId="77777777" w:rsidR="00606E41" w:rsidRDefault="00606E41" w:rsidP="00DF027C">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1EEC3918" w14:textId="77777777" w:rsidR="006A2DBE" w:rsidRPr="008F62C6" w:rsidRDefault="006A2DBE" w:rsidP="006A2DBE">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Pr>
          <w:rFonts w:eastAsia="Batang" w:cs="Times New Roman"/>
          <w:szCs w:val="24"/>
          <w:lang w:val="es-ES_tradnl" w:eastAsia="es-ES"/>
        </w:rPr>
        <w:t>Al cierre del ejercicio 2019</w:t>
      </w:r>
      <w:r w:rsidRPr="008F62C6">
        <w:rPr>
          <w:rFonts w:eastAsia="Batang" w:cs="Times New Roman"/>
          <w:szCs w:val="24"/>
          <w:lang w:val="es-ES_tradnl" w:eastAsia="es-ES"/>
        </w:rPr>
        <w:t xml:space="preserve">, la valoración de la cartera a valor razonable </w:t>
      </w:r>
      <w:r>
        <w:rPr>
          <w:rFonts w:eastAsia="Batang" w:cs="Times New Roman"/>
          <w:szCs w:val="24"/>
          <w:lang w:val="es-ES_tradnl" w:eastAsia="es-ES"/>
        </w:rPr>
        <w:t>ha supuesto un ajuste positivo</w:t>
      </w:r>
      <w:r w:rsidRPr="008F62C6">
        <w:rPr>
          <w:rFonts w:eastAsia="Batang" w:cs="Times New Roman"/>
          <w:szCs w:val="24"/>
          <w:lang w:val="es-ES_tradnl" w:eastAsia="es-ES"/>
        </w:rPr>
        <w:t xml:space="preserve"> de </w:t>
      </w:r>
      <w:r w:rsidRPr="0069321D">
        <w:rPr>
          <w:rFonts w:eastAsia="Batang" w:cs="Times New Roman"/>
          <w:szCs w:val="24"/>
          <w:lang w:val="es-ES_tradnl" w:eastAsia="es-ES"/>
        </w:rPr>
        <w:t>29.314.353,31 euros (véase Nota 5.1).</w:t>
      </w:r>
    </w:p>
    <w:p w14:paraId="7E484E44" w14:textId="77777777" w:rsidR="008154BA" w:rsidRPr="002E585B" w:rsidRDefault="008154BA">
      <w:pPr>
        <w:rPr>
          <w:rFonts w:eastAsia="Batang"/>
          <w:szCs w:val="24"/>
          <w:lang w:val="es-ES_tradnl"/>
        </w:rPr>
      </w:pPr>
    </w:p>
    <w:p w14:paraId="36EF7706" w14:textId="77777777" w:rsidR="00EC2773" w:rsidRPr="0098461A" w:rsidRDefault="00111FA9" w:rsidP="00AE4DA8">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C52C96">
        <w:rPr>
          <w:rFonts w:eastAsia="Batang" w:cs="Times New Roman"/>
          <w:b/>
          <w:bCs/>
          <w:szCs w:val="24"/>
          <w:u w:val="single"/>
          <w:lang w:val="es-ES_tradnl" w:eastAsia="es-ES"/>
        </w:rPr>
        <w:t xml:space="preserve"> </w:t>
      </w:r>
      <w:r w:rsidR="00F61EA2" w:rsidRPr="0098461A">
        <w:rPr>
          <w:rFonts w:eastAsia="Batang" w:cs="Times New Roman"/>
          <w:b/>
          <w:bCs/>
          <w:szCs w:val="24"/>
          <w:u w:val="single"/>
          <w:lang w:val="es-ES_tradnl" w:eastAsia="es-ES"/>
        </w:rPr>
        <w:t>SITUACIÓN FISCAL</w:t>
      </w:r>
    </w:p>
    <w:p w14:paraId="2C5A8355" w14:textId="77777777" w:rsidR="00766C97" w:rsidRDefault="00766C97" w:rsidP="00766C97">
      <w:pPr>
        <w:rPr>
          <w:rFonts w:eastAsia="Batang"/>
          <w:szCs w:val="24"/>
        </w:rPr>
      </w:pPr>
    </w:p>
    <w:p w14:paraId="276D0FF9" w14:textId="566EA4F5" w:rsidR="00766C97" w:rsidRPr="00921990" w:rsidRDefault="00766C97" w:rsidP="00766C97">
      <w:pPr>
        <w:pStyle w:val="Prrafodelista"/>
        <w:numPr>
          <w:ilvl w:val="1"/>
          <w:numId w:val="27"/>
        </w:numPr>
        <w:tabs>
          <w:tab w:val="left" w:pos="1276"/>
        </w:tabs>
        <w:overflowPunct w:val="0"/>
        <w:autoSpaceDE w:val="0"/>
        <w:autoSpaceDN w:val="0"/>
        <w:adjustRightInd w:val="0"/>
        <w:spacing w:after="0" w:line="240" w:lineRule="auto"/>
        <w:ind w:right="-1"/>
        <w:jc w:val="both"/>
        <w:textAlignment w:val="baseline"/>
        <w:outlineLvl w:val="0"/>
        <w:rPr>
          <w:rFonts w:eastAsia="Batang" w:cs="Times New Roman"/>
          <w:b/>
          <w:i/>
          <w:iCs/>
          <w:szCs w:val="24"/>
          <w:u w:val="single"/>
          <w:lang w:val="es-ES_tradnl" w:eastAsia="es-ES"/>
        </w:rPr>
      </w:pPr>
      <w:r>
        <w:rPr>
          <w:rFonts w:eastAsia="Batang" w:cs="Times New Roman"/>
          <w:b/>
          <w:i/>
          <w:szCs w:val="24"/>
          <w:lang w:val="es-ES_tradnl" w:eastAsia="es-ES"/>
        </w:rPr>
        <w:t xml:space="preserve"> Saldos con Administraciones Públicas</w:t>
      </w:r>
    </w:p>
    <w:p w14:paraId="5D33EEBC" w14:textId="77777777" w:rsidR="00766C97" w:rsidRPr="002E585B" w:rsidRDefault="00766C97" w:rsidP="00A94CE3">
      <w:pPr>
        <w:pStyle w:val="not"/>
        <w:spacing w:before="0"/>
        <w:ind w:left="360" w:firstLine="0"/>
        <w:rPr>
          <w:rFonts w:ascii="Cambria" w:eastAsia="Batang" w:hAnsi="Cambria"/>
          <w:sz w:val="24"/>
          <w:szCs w:val="24"/>
          <w:highlight w:val="yellow"/>
        </w:rPr>
      </w:pPr>
    </w:p>
    <w:p w14:paraId="407C089C" w14:textId="68697503" w:rsidR="00C96620" w:rsidRDefault="00C96620" w:rsidP="00C96620">
      <w:pPr>
        <w:pStyle w:val="Textoindependiente"/>
        <w:ind w:left="360" w:firstLine="207"/>
        <w:rPr>
          <w:rFonts w:ascii="Cambria" w:eastAsia="Batang" w:hAnsi="Cambria" w:cs="Times New Roman"/>
          <w:color w:val="auto"/>
          <w:lang w:val="es-ES_tradnl"/>
        </w:rPr>
      </w:pPr>
      <w:r w:rsidRPr="002A756F">
        <w:rPr>
          <w:rFonts w:ascii="Cambria" w:eastAsia="Batang" w:hAnsi="Cambria" w:cs="Times New Roman"/>
          <w:color w:val="auto"/>
          <w:lang w:val="es-ES_tradnl"/>
        </w:rPr>
        <w:t>La composición de los saldos con Administraciones Públicas es:</w:t>
      </w:r>
    </w:p>
    <w:p w14:paraId="30BAE349" w14:textId="77777777" w:rsidR="00DF027C" w:rsidRDefault="00DF027C" w:rsidP="00C96620">
      <w:pPr>
        <w:pStyle w:val="Textoindependiente"/>
        <w:ind w:left="360" w:firstLine="207"/>
        <w:rPr>
          <w:rFonts w:ascii="Cambria" w:eastAsia="Batang" w:hAnsi="Cambria" w:cs="Times New Roman"/>
          <w:color w:val="auto"/>
          <w:lang w:val="es-ES_tradnl"/>
        </w:rPr>
      </w:pPr>
    </w:p>
    <w:tbl>
      <w:tblPr>
        <w:tblW w:w="6911" w:type="dxa"/>
        <w:jc w:val="center"/>
        <w:tblCellMar>
          <w:left w:w="70" w:type="dxa"/>
          <w:right w:w="70" w:type="dxa"/>
        </w:tblCellMar>
        <w:tblLook w:val="04A0" w:firstRow="1" w:lastRow="0" w:firstColumn="1" w:lastColumn="0" w:noHBand="0" w:noVBand="1"/>
      </w:tblPr>
      <w:tblGrid>
        <w:gridCol w:w="3945"/>
        <w:gridCol w:w="1437"/>
        <w:gridCol w:w="1529"/>
      </w:tblGrid>
      <w:tr w:rsidR="00DF027C" w:rsidRPr="002A756F" w14:paraId="2445E6E3" w14:textId="77777777" w:rsidTr="00DF027C">
        <w:trPr>
          <w:trHeight w:val="267"/>
          <w:jc w:val="center"/>
        </w:trPr>
        <w:tc>
          <w:tcPr>
            <w:tcW w:w="3945" w:type="dxa"/>
            <w:tcBorders>
              <w:top w:val="nil"/>
              <w:left w:val="nil"/>
              <w:right w:val="nil"/>
            </w:tcBorders>
            <w:shd w:val="clear" w:color="auto" w:fill="auto"/>
            <w:vAlign w:val="center"/>
          </w:tcPr>
          <w:p w14:paraId="7780F42A" w14:textId="77777777" w:rsidR="00DF027C" w:rsidRPr="002A756F" w:rsidRDefault="00DF027C" w:rsidP="00C05B9D">
            <w:pPr>
              <w:spacing w:after="0" w:line="240" w:lineRule="auto"/>
              <w:rPr>
                <w:rFonts w:ascii="Times New Roman" w:eastAsia="Times New Roman" w:hAnsi="Times New Roman" w:cs="Times New Roman"/>
                <w:sz w:val="20"/>
                <w:szCs w:val="24"/>
                <w:lang w:eastAsia="es-ES"/>
              </w:rPr>
            </w:pP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27095" w14:textId="7AECAC65" w:rsidR="00DF027C" w:rsidRPr="00DF027C" w:rsidRDefault="00DF027C" w:rsidP="00DF027C">
            <w:pPr>
              <w:spacing w:after="0" w:line="240" w:lineRule="auto"/>
              <w:jc w:val="center"/>
              <w:rPr>
                <w:rFonts w:eastAsia="Times New Roman" w:cs="Arial"/>
                <w:sz w:val="20"/>
                <w:szCs w:val="24"/>
                <w:lang w:eastAsia="es-ES"/>
              </w:rPr>
            </w:pPr>
            <w:r w:rsidRPr="00DF027C">
              <w:rPr>
                <w:rFonts w:eastAsia="Times New Roman" w:cs="Arial"/>
                <w:sz w:val="20"/>
                <w:szCs w:val="24"/>
                <w:lang w:eastAsia="es-ES"/>
              </w:rPr>
              <w:t>Euros</w:t>
            </w:r>
          </w:p>
        </w:tc>
      </w:tr>
      <w:tr w:rsidR="002C285A" w:rsidRPr="002A756F" w14:paraId="3CBA15E2" w14:textId="77777777" w:rsidTr="00DF027C">
        <w:trPr>
          <w:trHeight w:val="267"/>
          <w:jc w:val="center"/>
        </w:trPr>
        <w:tc>
          <w:tcPr>
            <w:tcW w:w="3945" w:type="dxa"/>
            <w:tcBorders>
              <w:left w:val="nil"/>
              <w:bottom w:val="single" w:sz="4" w:space="0" w:color="auto"/>
              <w:right w:val="nil"/>
            </w:tcBorders>
            <w:shd w:val="clear" w:color="auto" w:fill="auto"/>
            <w:vAlign w:val="center"/>
            <w:hideMark/>
          </w:tcPr>
          <w:p w14:paraId="74ABA78E" w14:textId="77777777" w:rsidR="002C285A" w:rsidRPr="002A756F" w:rsidRDefault="002C285A" w:rsidP="00C05B9D">
            <w:pPr>
              <w:spacing w:after="0" w:line="240" w:lineRule="auto"/>
              <w:rPr>
                <w:rFonts w:ascii="Times New Roman" w:eastAsia="Times New Roman" w:hAnsi="Times New Roman" w:cs="Times New Roman"/>
                <w:sz w:val="20"/>
                <w:szCs w:val="24"/>
                <w:lang w:eastAsia="es-ES"/>
              </w:rPr>
            </w:pP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E0A7" w14:textId="77777777" w:rsidR="002C285A" w:rsidRPr="002A756F" w:rsidRDefault="002C285A" w:rsidP="00C05B9D">
            <w:pPr>
              <w:spacing w:after="0" w:line="240" w:lineRule="auto"/>
              <w:jc w:val="right"/>
              <w:rPr>
                <w:rFonts w:eastAsia="Times New Roman" w:cs="Arial"/>
                <w:b/>
                <w:bCs/>
                <w:sz w:val="20"/>
                <w:szCs w:val="24"/>
                <w:lang w:eastAsia="es-ES"/>
              </w:rPr>
            </w:pPr>
            <w:r w:rsidRPr="002A756F">
              <w:rPr>
                <w:rFonts w:eastAsia="Times New Roman" w:cs="Arial"/>
                <w:b/>
                <w:bCs/>
                <w:sz w:val="20"/>
                <w:szCs w:val="24"/>
                <w:lang w:eastAsia="es-ES"/>
              </w:rPr>
              <w:t>31/12/20</w:t>
            </w:r>
            <w:r>
              <w:rPr>
                <w:rFonts w:eastAsia="Times New Roman" w:cs="Arial"/>
                <w:b/>
                <w:bCs/>
                <w:sz w:val="20"/>
                <w:szCs w:val="24"/>
                <w:lang w:eastAsia="es-ES"/>
              </w:rPr>
              <w:t>20</w:t>
            </w:r>
          </w:p>
        </w:tc>
        <w:tc>
          <w:tcPr>
            <w:tcW w:w="1529" w:type="dxa"/>
            <w:tcBorders>
              <w:top w:val="single" w:sz="4" w:space="0" w:color="auto"/>
              <w:left w:val="nil"/>
              <w:bottom w:val="single" w:sz="4" w:space="0" w:color="auto"/>
              <w:right w:val="single" w:sz="4" w:space="0" w:color="auto"/>
            </w:tcBorders>
            <w:vAlign w:val="center"/>
          </w:tcPr>
          <w:p w14:paraId="7882606C" w14:textId="77777777" w:rsidR="002C285A" w:rsidRPr="002A756F" w:rsidRDefault="002C285A" w:rsidP="00C05B9D">
            <w:pPr>
              <w:spacing w:after="0" w:line="240" w:lineRule="auto"/>
              <w:jc w:val="right"/>
              <w:rPr>
                <w:rFonts w:eastAsia="Times New Roman" w:cs="Arial"/>
                <w:b/>
                <w:bCs/>
                <w:sz w:val="20"/>
                <w:szCs w:val="24"/>
                <w:lang w:eastAsia="es-ES"/>
              </w:rPr>
            </w:pPr>
            <w:r w:rsidRPr="002A756F">
              <w:rPr>
                <w:rFonts w:eastAsia="Times New Roman" w:cs="Arial"/>
                <w:b/>
                <w:bCs/>
                <w:sz w:val="20"/>
                <w:szCs w:val="24"/>
                <w:lang w:eastAsia="es-ES"/>
              </w:rPr>
              <w:t>31/12/2019</w:t>
            </w:r>
          </w:p>
        </w:tc>
      </w:tr>
      <w:tr w:rsidR="002C285A" w:rsidRPr="002A756F" w14:paraId="73C5A312" w14:textId="77777777" w:rsidTr="00766C97">
        <w:trPr>
          <w:trHeight w:val="267"/>
          <w:jc w:val="center"/>
        </w:trPr>
        <w:tc>
          <w:tcPr>
            <w:tcW w:w="3945" w:type="dxa"/>
            <w:tcBorders>
              <w:left w:val="single" w:sz="4" w:space="0" w:color="auto"/>
              <w:bottom w:val="nil"/>
              <w:right w:val="nil"/>
            </w:tcBorders>
            <w:shd w:val="clear" w:color="auto" w:fill="auto"/>
            <w:vAlign w:val="center"/>
            <w:hideMark/>
          </w:tcPr>
          <w:p w14:paraId="49E64250" w14:textId="77777777" w:rsidR="002C285A" w:rsidRPr="002A756F" w:rsidRDefault="002C285A" w:rsidP="00C05B9D">
            <w:pPr>
              <w:spacing w:after="0" w:line="240" w:lineRule="auto"/>
              <w:rPr>
                <w:rFonts w:eastAsia="Times New Roman" w:cs="Arial"/>
                <w:b/>
                <w:bCs/>
                <w:sz w:val="20"/>
                <w:szCs w:val="24"/>
                <w:u w:val="single"/>
                <w:lang w:eastAsia="es-ES"/>
              </w:rPr>
            </w:pPr>
            <w:r w:rsidRPr="002A756F">
              <w:rPr>
                <w:rFonts w:eastAsia="Times New Roman" w:cs="Arial"/>
                <w:b/>
                <w:bCs/>
                <w:sz w:val="20"/>
                <w:szCs w:val="24"/>
                <w:u w:val="single"/>
                <w:lang w:eastAsia="es-ES"/>
              </w:rPr>
              <w:t>Deudor</w:t>
            </w:r>
          </w:p>
        </w:tc>
        <w:tc>
          <w:tcPr>
            <w:tcW w:w="1437" w:type="dxa"/>
            <w:tcBorders>
              <w:left w:val="single" w:sz="4" w:space="0" w:color="auto"/>
              <w:bottom w:val="nil"/>
              <w:right w:val="single" w:sz="4" w:space="0" w:color="auto"/>
            </w:tcBorders>
            <w:shd w:val="clear" w:color="auto" w:fill="auto"/>
            <w:vAlign w:val="center"/>
            <w:hideMark/>
          </w:tcPr>
          <w:p w14:paraId="218ACE48" w14:textId="7988E2E1" w:rsidR="002C285A" w:rsidRPr="00AA2852" w:rsidRDefault="00766C97" w:rsidP="00766C97">
            <w:pPr>
              <w:spacing w:after="0" w:line="240" w:lineRule="auto"/>
              <w:jc w:val="center"/>
              <w:rPr>
                <w:rFonts w:eastAsia="Times New Roman" w:cs="Arial"/>
                <w:b/>
                <w:bCs/>
                <w:sz w:val="20"/>
                <w:szCs w:val="24"/>
                <w:lang w:eastAsia="es-ES"/>
              </w:rPr>
            </w:pPr>
            <w:r w:rsidRPr="00AA2852">
              <w:rPr>
                <w:rFonts w:eastAsia="Times New Roman" w:cs="Arial"/>
                <w:b/>
                <w:bCs/>
                <w:sz w:val="20"/>
                <w:szCs w:val="24"/>
                <w:lang w:eastAsia="es-ES"/>
              </w:rPr>
              <w:t>-</w:t>
            </w:r>
          </w:p>
        </w:tc>
        <w:tc>
          <w:tcPr>
            <w:tcW w:w="1529" w:type="dxa"/>
            <w:tcBorders>
              <w:left w:val="nil"/>
              <w:bottom w:val="nil"/>
              <w:right w:val="single" w:sz="4" w:space="0" w:color="auto"/>
            </w:tcBorders>
            <w:vAlign w:val="center"/>
          </w:tcPr>
          <w:p w14:paraId="6518641D" w14:textId="6E0FD17A" w:rsidR="002C285A" w:rsidRPr="00AA2852" w:rsidRDefault="00766C97" w:rsidP="00766C97">
            <w:pPr>
              <w:spacing w:after="0" w:line="240" w:lineRule="auto"/>
              <w:jc w:val="right"/>
              <w:rPr>
                <w:rFonts w:eastAsia="Times New Roman" w:cs="Arial"/>
                <w:b/>
                <w:bCs/>
                <w:sz w:val="20"/>
                <w:szCs w:val="24"/>
                <w:lang w:eastAsia="es-ES"/>
              </w:rPr>
            </w:pPr>
            <w:r w:rsidRPr="00AA2852">
              <w:rPr>
                <w:rFonts w:eastAsia="Times New Roman" w:cs="Arial"/>
                <w:b/>
                <w:bCs/>
                <w:sz w:val="20"/>
                <w:szCs w:val="24"/>
                <w:lang w:eastAsia="es-ES"/>
              </w:rPr>
              <w:t>26,54</w:t>
            </w:r>
          </w:p>
        </w:tc>
      </w:tr>
      <w:tr w:rsidR="002C285A" w:rsidRPr="002A756F" w14:paraId="626EF0AD" w14:textId="77777777" w:rsidTr="00C05B9D">
        <w:trPr>
          <w:trHeight w:val="267"/>
          <w:jc w:val="center"/>
        </w:trPr>
        <w:tc>
          <w:tcPr>
            <w:tcW w:w="3945" w:type="dxa"/>
            <w:tcBorders>
              <w:top w:val="nil"/>
              <w:left w:val="single" w:sz="4" w:space="0" w:color="auto"/>
              <w:bottom w:val="nil"/>
              <w:right w:val="nil"/>
            </w:tcBorders>
            <w:shd w:val="clear" w:color="auto" w:fill="auto"/>
            <w:vAlign w:val="center"/>
            <w:hideMark/>
          </w:tcPr>
          <w:p w14:paraId="257D6DB7" w14:textId="77777777" w:rsidR="002C285A" w:rsidRPr="002A756F" w:rsidRDefault="002C285A" w:rsidP="00C05B9D">
            <w:pPr>
              <w:spacing w:after="0" w:line="240" w:lineRule="auto"/>
              <w:rPr>
                <w:rFonts w:eastAsia="Times New Roman" w:cs="Arial"/>
                <w:sz w:val="20"/>
                <w:szCs w:val="24"/>
                <w:lang w:eastAsia="es-ES"/>
              </w:rPr>
            </w:pPr>
            <w:r w:rsidRPr="002A756F">
              <w:rPr>
                <w:rFonts w:eastAsia="Times New Roman" w:cs="Arial"/>
                <w:sz w:val="20"/>
                <w:szCs w:val="24"/>
                <w:lang w:eastAsia="es-ES"/>
              </w:rPr>
              <w:t>Hacienda Pública, deudor por IVA</w:t>
            </w:r>
          </w:p>
        </w:tc>
        <w:tc>
          <w:tcPr>
            <w:tcW w:w="1437" w:type="dxa"/>
            <w:tcBorders>
              <w:top w:val="nil"/>
              <w:left w:val="single" w:sz="4" w:space="0" w:color="auto"/>
              <w:bottom w:val="nil"/>
              <w:right w:val="single" w:sz="4" w:space="0" w:color="auto"/>
            </w:tcBorders>
            <w:shd w:val="clear" w:color="auto" w:fill="auto"/>
            <w:vAlign w:val="center"/>
            <w:hideMark/>
          </w:tcPr>
          <w:p w14:paraId="57E6C23F" w14:textId="77777777" w:rsidR="002C285A" w:rsidRPr="00592D73" w:rsidRDefault="002C285A" w:rsidP="00766C97">
            <w:pPr>
              <w:spacing w:after="0" w:line="240" w:lineRule="auto"/>
              <w:jc w:val="center"/>
              <w:rPr>
                <w:rFonts w:eastAsia="Times New Roman" w:cs="Arial"/>
                <w:sz w:val="20"/>
                <w:szCs w:val="24"/>
                <w:lang w:eastAsia="es-ES"/>
              </w:rPr>
            </w:pPr>
            <w:r w:rsidRPr="00592D73">
              <w:rPr>
                <w:rFonts w:eastAsia="Times New Roman" w:cs="Arial"/>
                <w:sz w:val="20"/>
                <w:szCs w:val="24"/>
                <w:lang w:eastAsia="es-ES"/>
              </w:rPr>
              <w:t>-</w:t>
            </w:r>
          </w:p>
        </w:tc>
        <w:tc>
          <w:tcPr>
            <w:tcW w:w="1529" w:type="dxa"/>
            <w:tcBorders>
              <w:top w:val="nil"/>
              <w:left w:val="nil"/>
              <w:bottom w:val="nil"/>
              <w:right w:val="single" w:sz="4" w:space="0" w:color="auto"/>
            </w:tcBorders>
            <w:vAlign w:val="center"/>
          </w:tcPr>
          <w:p w14:paraId="4AB6D0A4" w14:textId="77777777" w:rsidR="002C285A" w:rsidRPr="00592D73" w:rsidRDefault="002C285A" w:rsidP="00766C97">
            <w:pPr>
              <w:spacing w:after="0" w:line="240" w:lineRule="auto"/>
              <w:jc w:val="right"/>
              <w:rPr>
                <w:rFonts w:eastAsia="Times New Roman" w:cs="Arial"/>
                <w:sz w:val="20"/>
                <w:szCs w:val="24"/>
                <w:lang w:eastAsia="es-ES"/>
              </w:rPr>
            </w:pPr>
            <w:r w:rsidRPr="00592D73">
              <w:rPr>
                <w:rFonts w:eastAsia="Times New Roman" w:cs="Arial"/>
                <w:sz w:val="20"/>
                <w:szCs w:val="24"/>
                <w:lang w:eastAsia="es-ES"/>
              </w:rPr>
              <w:t>26,54</w:t>
            </w:r>
          </w:p>
        </w:tc>
      </w:tr>
      <w:tr w:rsidR="002C285A" w:rsidRPr="002A756F" w14:paraId="28F83B7A" w14:textId="77777777" w:rsidTr="00C05B9D">
        <w:trPr>
          <w:trHeight w:val="267"/>
          <w:jc w:val="center"/>
        </w:trPr>
        <w:tc>
          <w:tcPr>
            <w:tcW w:w="3945" w:type="dxa"/>
            <w:tcBorders>
              <w:top w:val="nil"/>
              <w:left w:val="single" w:sz="4" w:space="0" w:color="auto"/>
              <w:bottom w:val="nil"/>
              <w:right w:val="nil"/>
            </w:tcBorders>
            <w:shd w:val="clear" w:color="auto" w:fill="auto"/>
            <w:vAlign w:val="center"/>
            <w:hideMark/>
          </w:tcPr>
          <w:p w14:paraId="55141987" w14:textId="77777777" w:rsidR="002C285A" w:rsidRPr="002A756F" w:rsidRDefault="002C285A" w:rsidP="00C05B9D">
            <w:pPr>
              <w:spacing w:after="0" w:line="240" w:lineRule="auto"/>
              <w:rPr>
                <w:rFonts w:eastAsia="Times New Roman" w:cs="Arial"/>
                <w:sz w:val="20"/>
                <w:szCs w:val="24"/>
                <w:lang w:eastAsia="es-ES"/>
              </w:rPr>
            </w:pPr>
            <w:r w:rsidRPr="002A756F">
              <w:rPr>
                <w:rFonts w:eastAsia="Times New Roman" w:cs="Arial"/>
                <w:sz w:val="20"/>
                <w:szCs w:val="24"/>
                <w:lang w:eastAsia="es-ES"/>
              </w:rPr>
              <w:t> </w:t>
            </w:r>
          </w:p>
        </w:tc>
        <w:tc>
          <w:tcPr>
            <w:tcW w:w="1437" w:type="dxa"/>
            <w:tcBorders>
              <w:top w:val="nil"/>
              <w:left w:val="single" w:sz="4" w:space="0" w:color="auto"/>
              <w:bottom w:val="nil"/>
              <w:right w:val="single" w:sz="4" w:space="0" w:color="auto"/>
            </w:tcBorders>
            <w:shd w:val="clear" w:color="auto" w:fill="auto"/>
            <w:vAlign w:val="center"/>
            <w:hideMark/>
          </w:tcPr>
          <w:p w14:paraId="7F243378" w14:textId="77777777" w:rsidR="002C285A" w:rsidRPr="00592D73" w:rsidRDefault="002C285A" w:rsidP="00766C97">
            <w:pPr>
              <w:spacing w:after="0" w:line="240" w:lineRule="auto"/>
              <w:jc w:val="right"/>
              <w:rPr>
                <w:rFonts w:eastAsia="Times New Roman" w:cs="Arial"/>
                <w:sz w:val="20"/>
                <w:szCs w:val="24"/>
                <w:lang w:eastAsia="es-ES"/>
              </w:rPr>
            </w:pPr>
          </w:p>
        </w:tc>
        <w:tc>
          <w:tcPr>
            <w:tcW w:w="1529" w:type="dxa"/>
            <w:tcBorders>
              <w:top w:val="nil"/>
              <w:left w:val="nil"/>
              <w:bottom w:val="nil"/>
              <w:right w:val="single" w:sz="4" w:space="0" w:color="auto"/>
            </w:tcBorders>
            <w:vAlign w:val="center"/>
          </w:tcPr>
          <w:p w14:paraId="2AD78439" w14:textId="77777777" w:rsidR="002C285A" w:rsidRPr="00592D73" w:rsidRDefault="002C285A" w:rsidP="00766C97">
            <w:pPr>
              <w:spacing w:after="0" w:line="240" w:lineRule="auto"/>
              <w:jc w:val="right"/>
              <w:rPr>
                <w:rFonts w:eastAsia="Times New Roman" w:cs="Arial"/>
                <w:sz w:val="20"/>
                <w:szCs w:val="24"/>
                <w:lang w:eastAsia="es-ES"/>
              </w:rPr>
            </w:pPr>
          </w:p>
        </w:tc>
      </w:tr>
      <w:tr w:rsidR="002C285A" w:rsidRPr="002A756F" w14:paraId="6A6E81D2" w14:textId="77777777" w:rsidTr="00C05B9D">
        <w:trPr>
          <w:trHeight w:val="267"/>
          <w:jc w:val="center"/>
        </w:trPr>
        <w:tc>
          <w:tcPr>
            <w:tcW w:w="3945" w:type="dxa"/>
            <w:tcBorders>
              <w:top w:val="nil"/>
              <w:left w:val="single" w:sz="4" w:space="0" w:color="auto"/>
              <w:bottom w:val="nil"/>
              <w:right w:val="nil"/>
            </w:tcBorders>
            <w:shd w:val="clear" w:color="auto" w:fill="auto"/>
            <w:vAlign w:val="center"/>
            <w:hideMark/>
          </w:tcPr>
          <w:p w14:paraId="560E76B5" w14:textId="77777777" w:rsidR="002C285A" w:rsidRPr="002A756F" w:rsidRDefault="002C285A" w:rsidP="00C05B9D">
            <w:pPr>
              <w:spacing w:after="0" w:line="240" w:lineRule="auto"/>
              <w:rPr>
                <w:rFonts w:eastAsia="Times New Roman" w:cs="Arial"/>
                <w:b/>
                <w:bCs/>
                <w:sz w:val="20"/>
                <w:szCs w:val="24"/>
                <w:u w:val="single"/>
                <w:lang w:eastAsia="es-ES"/>
              </w:rPr>
            </w:pPr>
            <w:r w:rsidRPr="002A756F">
              <w:rPr>
                <w:rFonts w:eastAsia="Times New Roman" w:cs="Arial"/>
                <w:b/>
                <w:bCs/>
                <w:sz w:val="20"/>
                <w:szCs w:val="24"/>
                <w:u w:val="single"/>
                <w:lang w:eastAsia="es-ES"/>
              </w:rPr>
              <w:t>Acreedor</w:t>
            </w:r>
          </w:p>
        </w:tc>
        <w:tc>
          <w:tcPr>
            <w:tcW w:w="1437" w:type="dxa"/>
            <w:tcBorders>
              <w:top w:val="nil"/>
              <w:left w:val="single" w:sz="4" w:space="0" w:color="auto"/>
              <w:bottom w:val="nil"/>
              <w:right w:val="single" w:sz="4" w:space="0" w:color="auto"/>
            </w:tcBorders>
            <w:shd w:val="clear" w:color="auto" w:fill="auto"/>
            <w:vAlign w:val="center"/>
            <w:hideMark/>
          </w:tcPr>
          <w:p w14:paraId="03ECF139" w14:textId="7114B836" w:rsidR="002C285A" w:rsidRPr="00766C97" w:rsidRDefault="00AA2852" w:rsidP="00766C97">
            <w:pPr>
              <w:spacing w:after="0" w:line="240" w:lineRule="auto"/>
              <w:jc w:val="right"/>
              <w:rPr>
                <w:rFonts w:eastAsia="Times New Roman" w:cs="Arial"/>
                <w:b/>
                <w:bCs/>
                <w:sz w:val="20"/>
                <w:szCs w:val="24"/>
                <w:lang w:eastAsia="es-ES"/>
              </w:rPr>
            </w:pPr>
            <w:r>
              <w:rPr>
                <w:rFonts w:eastAsia="Times New Roman" w:cs="Arial"/>
                <w:b/>
                <w:bCs/>
                <w:sz w:val="20"/>
                <w:szCs w:val="24"/>
                <w:lang w:eastAsia="es-ES"/>
              </w:rPr>
              <w:t>1.045,61</w:t>
            </w:r>
          </w:p>
        </w:tc>
        <w:tc>
          <w:tcPr>
            <w:tcW w:w="1529" w:type="dxa"/>
            <w:tcBorders>
              <w:top w:val="nil"/>
              <w:left w:val="nil"/>
              <w:bottom w:val="nil"/>
              <w:right w:val="single" w:sz="4" w:space="0" w:color="auto"/>
            </w:tcBorders>
            <w:vAlign w:val="center"/>
          </w:tcPr>
          <w:p w14:paraId="33EEC7AA" w14:textId="38A6B238" w:rsidR="002C285A" w:rsidRPr="00766C97" w:rsidRDefault="00AA2852" w:rsidP="00766C97">
            <w:pPr>
              <w:spacing w:after="0" w:line="240" w:lineRule="auto"/>
              <w:jc w:val="right"/>
              <w:rPr>
                <w:rFonts w:eastAsia="Times New Roman" w:cs="Arial"/>
                <w:b/>
                <w:bCs/>
                <w:sz w:val="20"/>
                <w:szCs w:val="24"/>
                <w:lang w:eastAsia="es-ES"/>
              </w:rPr>
            </w:pPr>
            <w:r>
              <w:rPr>
                <w:rFonts w:eastAsia="Times New Roman" w:cs="Arial"/>
                <w:b/>
                <w:bCs/>
                <w:sz w:val="20"/>
                <w:szCs w:val="24"/>
                <w:lang w:eastAsia="es-ES"/>
              </w:rPr>
              <w:t>23.636,</w:t>
            </w:r>
            <w:r w:rsidR="00766C97" w:rsidRPr="00766C97">
              <w:rPr>
                <w:rFonts w:eastAsia="Times New Roman" w:cs="Arial"/>
                <w:b/>
                <w:bCs/>
                <w:sz w:val="20"/>
                <w:szCs w:val="24"/>
                <w:lang w:eastAsia="es-ES"/>
              </w:rPr>
              <w:t>78</w:t>
            </w:r>
          </w:p>
        </w:tc>
      </w:tr>
      <w:tr w:rsidR="002C285A" w:rsidRPr="002A756F" w14:paraId="0CD04AEB" w14:textId="77777777" w:rsidTr="00DF027C">
        <w:trPr>
          <w:trHeight w:val="267"/>
          <w:jc w:val="center"/>
        </w:trPr>
        <w:tc>
          <w:tcPr>
            <w:tcW w:w="3945" w:type="dxa"/>
            <w:tcBorders>
              <w:top w:val="nil"/>
              <w:left w:val="single" w:sz="4" w:space="0" w:color="auto"/>
              <w:right w:val="nil"/>
            </w:tcBorders>
            <w:shd w:val="clear" w:color="auto" w:fill="auto"/>
            <w:vAlign w:val="center"/>
            <w:hideMark/>
          </w:tcPr>
          <w:p w14:paraId="2C7756EB" w14:textId="77777777" w:rsidR="002C285A" w:rsidRPr="002A756F" w:rsidRDefault="002C285A" w:rsidP="00C05B9D">
            <w:pPr>
              <w:spacing w:after="0" w:line="240" w:lineRule="auto"/>
              <w:rPr>
                <w:rFonts w:eastAsia="Times New Roman" w:cs="Arial"/>
                <w:sz w:val="20"/>
                <w:szCs w:val="24"/>
                <w:lang w:eastAsia="es-ES"/>
              </w:rPr>
            </w:pPr>
            <w:r w:rsidRPr="002A756F">
              <w:rPr>
                <w:rFonts w:eastAsia="Times New Roman" w:cs="Arial"/>
                <w:sz w:val="20"/>
                <w:szCs w:val="24"/>
                <w:lang w:eastAsia="es-ES"/>
              </w:rPr>
              <w:t>Hacienda Pública, acreedora por IVA</w:t>
            </w:r>
          </w:p>
        </w:tc>
        <w:tc>
          <w:tcPr>
            <w:tcW w:w="1437" w:type="dxa"/>
            <w:tcBorders>
              <w:top w:val="nil"/>
              <w:left w:val="single" w:sz="4" w:space="0" w:color="auto"/>
              <w:right w:val="single" w:sz="4" w:space="0" w:color="auto"/>
            </w:tcBorders>
            <w:shd w:val="clear" w:color="auto" w:fill="auto"/>
            <w:vAlign w:val="center"/>
            <w:hideMark/>
          </w:tcPr>
          <w:p w14:paraId="794E31FC" w14:textId="77777777" w:rsidR="002C285A" w:rsidRPr="00592D73" w:rsidRDefault="002C285A" w:rsidP="00766C97">
            <w:pPr>
              <w:spacing w:after="0" w:line="240" w:lineRule="auto"/>
              <w:jc w:val="right"/>
              <w:rPr>
                <w:rFonts w:eastAsia="Times New Roman" w:cs="Arial"/>
                <w:sz w:val="20"/>
                <w:szCs w:val="24"/>
                <w:lang w:eastAsia="es-ES"/>
              </w:rPr>
            </w:pPr>
            <w:r w:rsidRPr="00592D73">
              <w:rPr>
                <w:rFonts w:eastAsia="Times New Roman" w:cs="Arial"/>
                <w:sz w:val="20"/>
                <w:szCs w:val="24"/>
                <w:lang w:eastAsia="es-ES"/>
              </w:rPr>
              <w:t>1.016,25</w:t>
            </w:r>
          </w:p>
        </w:tc>
        <w:tc>
          <w:tcPr>
            <w:tcW w:w="1529" w:type="dxa"/>
            <w:tcBorders>
              <w:top w:val="nil"/>
              <w:left w:val="nil"/>
              <w:right w:val="single" w:sz="4" w:space="0" w:color="auto"/>
            </w:tcBorders>
            <w:vAlign w:val="center"/>
          </w:tcPr>
          <w:p w14:paraId="47E08EBA" w14:textId="77777777" w:rsidR="002C285A" w:rsidRPr="00592D73" w:rsidRDefault="002C285A" w:rsidP="00766C97">
            <w:pPr>
              <w:spacing w:after="0" w:line="240" w:lineRule="auto"/>
              <w:jc w:val="right"/>
              <w:rPr>
                <w:rFonts w:eastAsia="Times New Roman" w:cs="Arial"/>
                <w:sz w:val="20"/>
                <w:szCs w:val="24"/>
                <w:lang w:eastAsia="es-ES"/>
              </w:rPr>
            </w:pPr>
            <w:r w:rsidRPr="00592D73">
              <w:rPr>
                <w:rFonts w:eastAsia="Times New Roman" w:cs="Arial"/>
                <w:sz w:val="20"/>
                <w:szCs w:val="24"/>
                <w:lang w:eastAsia="es-ES"/>
              </w:rPr>
              <w:t>23.600,74</w:t>
            </w:r>
          </w:p>
        </w:tc>
      </w:tr>
      <w:tr w:rsidR="002C285A" w:rsidRPr="002A756F" w14:paraId="5245E848" w14:textId="77777777" w:rsidTr="00DF027C">
        <w:trPr>
          <w:trHeight w:val="267"/>
          <w:jc w:val="center"/>
        </w:trPr>
        <w:tc>
          <w:tcPr>
            <w:tcW w:w="3945" w:type="dxa"/>
            <w:tcBorders>
              <w:top w:val="nil"/>
              <w:left w:val="single" w:sz="4" w:space="0" w:color="auto"/>
              <w:bottom w:val="single" w:sz="4" w:space="0" w:color="auto"/>
              <w:right w:val="nil"/>
            </w:tcBorders>
            <w:shd w:val="clear" w:color="auto" w:fill="auto"/>
            <w:vAlign w:val="center"/>
            <w:hideMark/>
          </w:tcPr>
          <w:p w14:paraId="2DD6C894" w14:textId="77777777" w:rsidR="002C285A" w:rsidRPr="002A756F" w:rsidRDefault="002C285A" w:rsidP="00C05B9D">
            <w:pPr>
              <w:spacing w:after="0" w:line="240" w:lineRule="auto"/>
              <w:rPr>
                <w:rFonts w:eastAsia="Times New Roman" w:cs="Arial"/>
                <w:sz w:val="20"/>
                <w:szCs w:val="24"/>
                <w:lang w:eastAsia="es-ES"/>
              </w:rPr>
            </w:pPr>
            <w:r w:rsidRPr="002A756F">
              <w:rPr>
                <w:rFonts w:eastAsia="Times New Roman" w:cs="Arial"/>
                <w:sz w:val="20"/>
                <w:szCs w:val="24"/>
                <w:lang w:eastAsia="es-ES"/>
              </w:rPr>
              <w:t>Hacienda Pública, acreedora por IRPF</w:t>
            </w:r>
          </w:p>
        </w:tc>
        <w:tc>
          <w:tcPr>
            <w:tcW w:w="1437" w:type="dxa"/>
            <w:tcBorders>
              <w:top w:val="nil"/>
              <w:left w:val="single" w:sz="4" w:space="0" w:color="auto"/>
              <w:bottom w:val="single" w:sz="4" w:space="0" w:color="auto"/>
              <w:right w:val="single" w:sz="4" w:space="0" w:color="auto"/>
            </w:tcBorders>
            <w:shd w:val="clear" w:color="auto" w:fill="auto"/>
            <w:vAlign w:val="center"/>
            <w:hideMark/>
          </w:tcPr>
          <w:p w14:paraId="23D999E1" w14:textId="77777777" w:rsidR="002C285A" w:rsidRPr="00592D73" w:rsidRDefault="002C285A" w:rsidP="00766C97">
            <w:pPr>
              <w:spacing w:after="0" w:line="240" w:lineRule="auto"/>
              <w:jc w:val="right"/>
              <w:rPr>
                <w:rFonts w:eastAsia="Times New Roman" w:cs="Arial"/>
                <w:sz w:val="20"/>
                <w:szCs w:val="24"/>
                <w:lang w:eastAsia="es-ES"/>
              </w:rPr>
            </w:pPr>
            <w:r w:rsidRPr="00592D73">
              <w:rPr>
                <w:rFonts w:eastAsia="Times New Roman" w:cs="Arial"/>
                <w:sz w:val="20"/>
                <w:szCs w:val="24"/>
                <w:lang w:eastAsia="es-ES"/>
              </w:rPr>
              <w:t>29,36</w:t>
            </w:r>
          </w:p>
        </w:tc>
        <w:tc>
          <w:tcPr>
            <w:tcW w:w="1529" w:type="dxa"/>
            <w:tcBorders>
              <w:top w:val="nil"/>
              <w:left w:val="nil"/>
              <w:bottom w:val="single" w:sz="4" w:space="0" w:color="auto"/>
              <w:right w:val="single" w:sz="4" w:space="0" w:color="auto"/>
            </w:tcBorders>
            <w:vAlign w:val="center"/>
          </w:tcPr>
          <w:p w14:paraId="6DF1047C" w14:textId="77777777" w:rsidR="002C285A" w:rsidRPr="00592D73" w:rsidRDefault="002C285A" w:rsidP="00766C97">
            <w:pPr>
              <w:spacing w:after="0" w:line="240" w:lineRule="auto"/>
              <w:jc w:val="right"/>
              <w:rPr>
                <w:rFonts w:eastAsia="Times New Roman" w:cs="Arial"/>
                <w:sz w:val="20"/>
                <w:szCs w:val="24"/>
                <w:lang w:eastAsia="es-ES"/>
              </w:rPr>
            </w:pPr>
            <w:r w:rsidRPr="00592D73">
              <w:rPr>
                <w:rFonts w:eastAsia="Times New Roman" w:cs="Arial"/>
                <w:sz w:val="20"/>
                <w:szCs w:val="24"/>
                <w:lang w:eastAsia="es-ES"/>
              </w:rPr>
              <w:t>36,04</w:t>
            </w:r>
          </w:p>
        </w:tc>
      </w:tr>
    </w:tbl>
    <w:p w14:paraId="1B5582C8" w14:textId="3067CAAA" w:rsidR="00766C97" w:rsidRDefault="00766C97" w:rsidP="00766C97">
      <w:pPr>
        <w:rPr>
          <w:rFonts w:eastAsia="Batang"/>
          <w:szCs w:val="24"/>
        </w:rPr>
      </w:pPr>
    </w:p>
    <w:p w14:paraId="3A86ED40" w14:textId="63AD998A" w:rsidR="00766C97" w:rsidRPr="00921990" w:rsidRDefault="00766C97" w:rsidP="00766C97">
      <w:pPr>
        <w:pStyle w:val="Prrafodelista"/>
        <w:numPr>
          <w:ilvl w:val="1"/>
          <w:numId w:val="27"/>
        </w:numPr>
        <w:tabs>
          <w:tab w:val="left" w:pos="1276"/>
        </w:tabs>
        <w:overflowPunct w:val="0"/>
        <w:autoSpaceDE w:val="0"/>
        <w:autoSpaceDN w:val="0"/>
        <w:adjustRightInd w:val="0"/>
        <w:spacing w:after="0" w:line="240" w:lineRule="auto"/>
        <w:ind w:right="-1"/>
        <w:jc w:val="both"/>
        <w:textAlignment w:val="baseline"/>
        <w:outlineLvl w:val="0"/>
        <w:rPr>
          <w:rFonts w:eastAsia="Batang" w:cs="Times New Roman"/>
          <w:b/>
          <w:i/>
          <w:iCs/>
          <w:szCs w:val="24"/>
          <w:u w:val="single"/>
          <w:lang w:val="es-ES_tradnl" w:eastAsia="es-ES"/>
        </w:rPr>
      </w:pPr>
      <w:r>
        <w:rPr>
          <w:rFonts w:eastAsia="Batang" w:cs="Times New Roman"/>
          <w:b/>
          <w:i/>
          <w:szCs w:val="24"/>
          <w:lang w:val="es-ES_tradnl" w:eastAsia="es-ES"/>
        </w:rPr>
        <w:t>Impuesto sobre beneficios</w:t>
      </w:r>
    </w:p>
    <w:p w14:paraId="4FBCDC1F" w14:textId="77777777" w:rsidR="00766C97" w:rsidRPr="003F77FC" w:rsidRDefault="00766C97" w:rsidP="00623903">
      <w:pPr>
        <w:pStyle w:val="not"/>
        <w:ind w:left="567" w:firstLine="0"/>
        <w:rPr>
          <w:rFonts w:ascii="Cambria" w:eastAsia="Batang" w:hAnsi="Cambria"/>
          <w:b/>
          <w:iCs/>
          <w:sz w:val="24"/>
          <w:szCs w:val="24"/>
        </w:rPr>
      </w:pPr>
    </w:p>
    <w:p w14:paraId="0D9D494B" w14:textId="77777777" w:rsidR="00623903" w:rsidRPr="002A756F" w:rsidRDefault="00623903" w:rsidP="00623903">
      <w:pPr>
        <w:ind w:left="567"/>
        <w:jc w:val="both"/>
        <w:rPr>
          <w:rFonts w:eastAsia="Batang" w:cs="Times New Roman"/>
          <w:szCs w:val="24"/>
          <w:lang w:val="es-ES_tradnl" w:eastAsia="es-ES"/>
        </w:rPr>
      </w:pPr>
      <w:r w:rsidRPr="002A756F">
        <w:rPr>
          <w:rFonts w:eastAsia="Batang" w:cs="Times New Roman"/>
          <w:szCs w:val="24"/>
          <w:lang w:val="es-ES_tradnl" w:eastAsia="es-ES"/>
        </w:rPr>
        <w:t xml:space="preserve">A efectos de la tributación por el Impuesto sobre Sociedades, la Sociedad forma parte del Grupo Consolidado Fiscal nº 9/86, formado por la Sociedad Estatal de Participaciones Industriales y las sociedades residentes en territorio español, en las que posee una participación directa o indirecta superior al 75% y la mayoría de los derechos de voto, conforme a los dispuesto en el art. 58 de la Ley 27/2014, del Impuesto sobre Sociedades. </w:t>
      </w:r>
    </w:p>
    <w:p w14:paraId="66117366" w14:textId="77777777" w:rsidR="00623903" w:rsidRPr="002A756F" w:rsidRDefault="00623903" w:rsidP="00623903">
      <w:pPr>
        <w:ind w:left="567"/>
        <w:jc w:val="both"/>
        <w:rPr>
          <w:rFonts w:eastAsia="Batang" w:cs="Times New Roman"/>
          <w:szCs w:val="24"/>
          <w:lang w:val="es-ES_tradnl" w:eastAsia="es-ES"/>
        </w:rPr>
      </w:pPr>
      <w:r w:rsidRPr="006F0CC2">
        <w:rPr>
          <w:rFonts w:eastAsia="Batang" w:cs="Times New Roman"/>
          <w:szCs w:val="24"/>
          <w:lang w:val="es-ES_tradnl" w:eastAsia="es-ES"/>
        </w:rPr>
        <w:lastRenderedPageBreak/>
        <w:t>La aplicación del régimen de tributación consolidada supone que se integren en la entidad dominante (Sociedad Estatal de Participaciones Industriales) los créditos y débitos individuales por el Impuesto sobre Sociedades. Por esta razón, la compensación en el ejercicio de bases imponibles negativas aportadas al Grupo implica la recompra de los créditos fiscales correspondientes, por un importe de 1.072.297,24 euros, importe que será abonado por Alimentos a SEPI una vez presentada la Declaración Consolidada (en 2019 la base imponible negativa de la sociedad implicó una recompra de crédito fiscal de 1.243.305,67 euros).</w:t>
      </w:r>
    </w:p>
    <w:p w14:paraId="4684EFE3" w14:textId="77777777" w:rsidR="00623903" w:rsidRDefault="00623903" w:rsidP="00623903">
      <w:pPr>
        <w:ind w:left="567"/>
        <w:jc w:val="both"/>
        <w:rPr>
          <w:rFonts w:eastAsia="Batang" w:cs="Times New Roman"/>
          <w:szCs w:val="24"/>
          <w:lang w:val="es-ES_tradnl" w:eastAsia="es-ES"/>
        </w:rPr>
      </w:pPr>
      <w:r w:rsidRPr="006F0CC2">
        <w:rPr>
          <w:rFonts w:eastAsia="Batang" w:cs="Times New Roman"/>
          <w:szCs w:val="24"/>
          <w:lang w:val="es-ES_tradnl" w:eastAsia="es-ES"/>
        </w:rPr>
        <w:t xml:space="preserve">Además, la sociedad ha de efectuar a la SEPI el pago en concepto de cuota positiva del impuesto, de </w:t>
      </w:r>
      <w:r w:rsidRPr="00C20135">
        <w:rPr>
          <w:rFonts w:eastAsia="Batang" w:cs="Times New Roman"/>
          <w:szCs w:val="24"/>
          <w:lang w:val="es-ES_tradnl" w:eastAsia="es-ES"/>
        </w:rPr>
        <w:t xml:space="preserve">2.845.761,87 </w:t>
      </w:r>
      <w:r w:rsidRPr="006F0CC2">
        <w:rPr>
          <w:rFonts w:eastAsia="Batang" w:cs="Times New Roman"/>
          <w:szCs w:val="24"/>
          <w:lang w:val="es-ES_tradnl" w:eastAsia="es-ES"/>
        </w:rPr>
        <w:t>euros en el ejercicio 2020, quedando un resultado después de impuestos de 36.137.834,67 euros.</w:t>
      </w:r>
      <w:r w:rsidRPr="002A756F">
        <w:rPr>
          <w:rFonts w:eastAsia="Batang" w:cs="Times New Roman"/>
          <w:szCs w:val="24"/>
          <w:lang w:val="es-ES_tradnl" w:eastAsia="es-ES"/>
        </w:rPr>
        <w:t xml:space="preserve"> </w:t>
      </w:r>
    </w:p>
    <w:p w14:paraId="74F3BD84" w14:textId="77777777" w:rsidR="00623903" w:rsidRDefault="00623903" w:rsidP="00623903">
      <w:pPr>
        <w:ind w:left="567"/>
        <w:jc w:val="both"/>
        <w:rPr>
          <w:b/>
          <w:bCs/>
          <w:u w:val="single"/>
        </w:rPr>
      </w:pPr>
      <w:r>
        <w:t>Según establece la legislación vigente, los impuestos no pueden considerarse definitivamente liquidados hasta que las declaraciones presentadas hayan sido inspeccionadas por las autoridades fiscales o haya transcurrido un plazo de prescripción de cuatro años.</w:t>
      </w:r>
    </w:p>
    <w:p w14:paraId="45BA59ED" w14:textId="77777777" w:rsidR="00623903" w:rsidRDefault="00623903" w:rsidP="00623903">
      <w:pPr>
        <w:ind w:left="567"/>
        <w:jc w:val="both"/>
      </w:pPr>
      <w:r>
        <w:t>Debido al diferente tratamiento que la legislación permite para determinadas operaciones, el resultado contable difiere de la base imponible fiscal.</w:t>
      </w:r>
    </w:p>
    <w:p w14:paraId="1918C55F" w14:textId="77777777" w:rsidR="00623903" w:rsidRDefault="00623903" w:rsidP="00623903">
      <w:pPr>
        <w:pStyle w:val="not"/>
        <w:spacing w:before="0"/>
        <w:ind w:left="567" w:firstLine="0"/>
        <w:rPr>
          <w:rFonts w:ascii="Cambria" w:eastAsia="Batang" w:hAnsi="Cambria"/>
          <w:sz w:val="24"/>
          <w:szCs w:val="24"/>
        </w:rPr>
      </w:pPr>
      <w:r w:rsidRPr="00B80209">
        <w:rPr>
          <w:rFonts w:ascii="Cambria" w:eastAsia="Batang" w:hAnsi="Cambria"/>
          <w:sz w:val="24"/>
          <w:szCs w:val="24"/>
        </w:rPr>
        <w:t xml:space="preserve">Así pues, el cálculo del Impuesto sobre Sociedades, durante los ejercicios </w:t>
      </w:r>
      <w:r>
        <w:rPr>
          <w:rFonts w:ascii="Cambria" w:eastAsia="Batang" w:hAnsi="Cambria"/>
          <w:sz w:val="24"/>
          <w:szCs w:val="24"/>
        </w:rPr>
        <w:t>2020</w:t>
      </w:r>
      <w:r w:rsidRPr="00B80209">
        <w:rPr>
          <w:rFonts w:ascii="Cambria" w:eastAsia="Batang" w:hAnsi="Cambria"/>
          <w:sz w:val="24"/>
          <w:szCs w:val="24"/>
        </w:rPr>
        <w:t xml:space="preserve"> y 201</w:t>
      </w:r>
      <w:r>
        <w:rPr>
          <w:rFonts w:ascii="Cambria" w:eastAsia="Batang" w:hAnsi="Cambria"/>
          <w:sz w:val="24"/>
          <w:szCs w:val="24"/>
        </w:rPr>
        <w:t>9</w:t>
      </w:r>
      <w:r w:rsidRPr="00B80209">
        <w:rPr>
          <w:rFonts w:ascii="Cambria" w:eastAsia="Batang" w:hAnsi="Cambria"/>
          <w:sz w:val="24"/>
          <w:szCs w:val="24"/>
        </w:rPr>
        <w:t>, en euros, responde al siguiente esquema de tributación:</w:t>
      </w:r>
    </w:p>
    <w:p w14:paraId="6658930B" w14:textId="147DB7A6" w:rsidR="00623903" w:rsidRDefault="00623903" w:rsidP="00623903">
      <w:pPr>
        <w:pStyle w:val="not"/>
        <w:spacing w:before="0"/>
        <w:ind w:left="567" w:firstLine="0"/>
        <w:rPr>
          <w:rFonts w:ascii="Cambria" w:eastAsia="Batang" w:hAnsi="Cambria"/>
          <w:sz w:val="24"/>
          <w:szCs w:val="24"/>
        </w:rPr>
      </w:pPr>
    </w:p>
    <w:p w14:paraId="35FB111B" w14:textId="77777777" w:rsidR="003F77FC" w:rsidRPr="00B80209" w:rsidRDefault="003F77FC" w:rsidP="00623903">
      <w:pPr>
        <w:pStyle w:val="not"/>
        <w:spacing w:before="0"/>
        <w:ind w:left="567" w:firstLine="0"/>
        <w:rPr>
          <w:rFonts w:ascii="Cambria" w:eastAsia="Batang" w:hAnsi="Cambria"/>
          <w:sz w:val="24"/>
          <w:szCs w:val="24"/>
        </w:rPr>
      </w:pPr>
    </w:p>
    <w:tbl>
      <w:tblPr>
        <w:tblW w:w="8555" w:type="dxa"/>
        <w:jc w:val="center"/>
        <w:tblCellMar>
          <w:left w:w="0" w:type="dxa"/>
          <w:right w:w="0" w:type="dxa"/>
        </w:tblCellMar>
        <w:tblLook w:val="0000" w:firstRow="0" w:lastRow="0" w:firstColumn="0" w:lastColumn="0" w:noHBand="0" w:noVBand="0"/>
      </w:tblPr>
      <w:tblGrid>
        <w:gridCol w:w="4678"/>
        <w:gridCol w:w="1732"/>
        <w:gridCol w:w="2145"/>
      </w:tblGrid>
      <w:tr w:rsidR="00623903" w:rsidRPr="006F0CC2" w14:paraId="5E0BE7EB" w14:textId="77777777" w:rsidTr="003F77FC">
        <w:trPr>
          <w:cantSplit/>
          <w:trHeight w:hRule="exact" w:val="340"/>
          <w:jc w:val="center"/>
        </w:trPr>
        <w:tc>
          <w:tcPr>
            <w:tcW w:w="4678" w:type="dxa"/>
            <w:tcBorders>
              <w:top w:val="nil"/>
              <w:right w:val="single" w:sz="4" w:space="0" w:color="auto"/>
            </w:tcBorders>
            <w:shd w:val="clear" w:color="auto" w:fill="auto"/>
            <w:tcMar>
              <w:top w:w="13" w:type="dxa"/>
              <w:left w:w="13" w:type="dxa"/>
              <w:bottom w:w="0" w:type="dxa"/>
              <w:right w:w="13" w:type="dxa"/>
            </w:tcMar>
            <w:vAlign w:val="bottom"/>
          </w:tcPr>
          <w:p w14:paraId="6F0DFC69" w14:textId="77777777" w:rsidR="00623903" w:rsidRDefault="00623903" w:rsidP="00C05B9D">
            <w:pPr>
              <w:rPr>
                <w:rFonts w:eastAsia="Batang" w:cs="Times New Roman"/>
                <w:szCs w:val="24"/>
                <w:lang w:val="es-ES_tradnl" w:eastAsia="es-ES"/>
              </w:rPr>
            </w:pPr>
            <w:r w:rsidRPr="00B80209">
              <w:rPr>
                <w:rFonts w:eastAsia="Batang" w:cs="Times New Roman"/>
                <w:szCs w:val="24"/>
                <w:lang w:val="es-ES_tradnl" w:eastAsia="es-ES"/>
              </w:rPr>
              <w:br w:type="page"/>
            </w:r>
          </w:p>
          <w:p w14:paraId="06994C2C" w14:textId="77777777" w:rsidR="00623903" w:rsidRPr="004E0030" w:rsidRDefault="00623903" w:rsidP="00C05B9D">
            <w:pPr>
              <w:rPr>
                <w:rFonts w:eastAsia="Batang"/>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420BE98F" w14:textId="77777777" w:rsidR="00623903" w:rsidRPr="006F0CC2" w:rsidRDefault="00623903" w:rsidP="00C05B9D">
            <w:pPr>
              <w:jc w:val="center"/>
              <w:rPr>
                <w:rFonts w:eastAsia="Batang"/>
                <w:sz w:val="20"/>
                <w:szCs w:val="20"/>
              </w:rPr>
            </w:pPr>
            <w:r w:rsidRPr="006F0CC2">
              <w:rPr>
                <w:rFonts w:eastAsia="Batang"/>
                <w:sz w:val="20"/>
                <w:szCs w:val="20"/>
              </w:rPr>
              <w:t>Euros</w:t>
            </w:r>
          </w:p>
        </w:tc>
      </w:tr>
      <w:tr w:rsidR="00623903" w:rsidRPr="006F0CC2" w14:paraId="73BF36A0" w14:textId="77777777" w:rsidTr="003F77FC">
        <w:trPr>
          <w:cantSplit/>
          <w:trHeight w:hRule="exact" w:val="340"/>
          <w:jc w:val="center"/>
        </w:trPr>
        <w:tc>
          <w:tcPr>
            <w:tcW w:w="4678" w:type="dxa"/>
            <w:tcBorders>
              <w:bottom w:val="single" w:sz="4" w:space="0" w:color="auto"/>
              <w:right w:val="single" w:sz="4" w:space="0" w:color="auto"/>
            </w:tcBorders>
            <w:shd w:val="clear" w:color="auto" w:fill="auto"/>
            <w:tcMar>
              <w:top w:w="0" w:type="dxa"/>
              <w:left w:w="13" w:type="dxa"/>
              <w:bottom w:w="0" w:type="dxa"/>
              <w:right w:w="13" w:type="dxa"/>
            </w:tcMar>
            <w:vAlign w:val="bottom"/>
          </w:tcPr>
          <w:p w14:paraId="09CCFB77" w14:textId="77777777" w:rsidR="00623903" w:rsidRPr="006F0CC2" w:rsidRDefault="00623903" w:rsidP="00C05B9D">
            <w:pPr>
              <w:rPr>
                <w:rFonts w:eastAsia="Batang"/>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17D7B696" w14:textId="77777777" w:rsidR="00623903" w:rsidRPr="006F0CC2" w:rsidRDefault="00623903" w:rsidP="00C05B9D">
            <w:pPr>
              <w:spacing w:line="240" w:lineRule="auto"/>
              <w:ind w:left="142"/>
              <w:jc w:val="center"/>
              <w:rPr>
                <w:rFonts w:eastAsia="Batang"/>
                <w:b/>
                <w:sz w:val="20"/>
                <w:szCs w:val="20"/>
              </w:rPr>
            </w:pPr>
            <w:r w:rsidRPr="006F0CC2">
              <w:rPr>
                <w:rFonts w:eastAsia="Batang"/>
                <w:b/>
                <w:sz w:val="20"/>
                <w:szCs w:val="20"/>
              </w:rPr>
              <w:t>2020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14:paraId="49844E5E" w14:textId="77777777" w:rsidR="00623903" w:rsidRPr="006F0CC2" w:rsidRDefault="00623903" w:rsidP="00C05B9D">
            <w:pPr>
              <w:spacing w:line="240" w:lineRule="auto"/>
              <w:ind w:left="142"/>
              <w:jc w:val="center"/>
              <w:rPr>
                <w:rFonts w:eastAsia="Batang"/>
                <w:b/>
                <w:sz w:val="20"/>
                <w:szCs w:val="20"/>
              </w:rPr>
            </w:pPr>
            <w:r w:rsidRPr="006F0CC2">
              <w:rPr>
                <w:rFonts w:eastAsia="Batang"/>
                <w:b/>
                <w:sz w:val="20"/>
                <w:szCs w:val="20"/>
              </w:rPr>
              <w:t>2019</w:t>
            </w:r>
          </w:p>
        </w:tc>
      </w:tr>
      <w:tr w:rsidR="00623903" w:rsidRPr="006F0CC2" w14:paraId="2A3F307F" w14:textId="77777777" w:rsidTr="003F77FC">
        <w:trPr>
          <w:cantSplit/>
          <w:trHeight w:hRule="exact" w:val="340"/>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099F8719" w14:textId="77777777" w:rsidR="00623903" w:rsidRPr="006F0CC2" w:rsidRDefault="00623903" w:rsidP="00C05B9D">
            <w:pPr>
              <w:rPr>
                <w:rFonts w:eastAsia="Batang"/>
                <w:sz w:val="20"/>
                <w:szCs w:val="20"/>
              </w:rPr>
            </w:pPr>
            <w:r w:rsidRPr="006F0CC2">
              <w:rPr>
                <w:rFonts w:eastAsia="Batang"/>
                <w:sz w:val="20"/>
                <w:szCs w:val="20"/>
              </w:rPr>
              <w:t>Resultado Contable antes de Impuestos</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480E7E02"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40.082.356,67</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14:paraId="6F04E7D8"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9.140.294,87</w:t>
            </w:r>
          </w:p>
        </w:tc>
      </w:tr>
      <w:tr w:rsidR="00623903" w:rsidRPr="006F0CC2" w14:paraId="10554C58" w14:textId="77777777" w:rsidTr="003F77FC">
        <w:trPr>
          <w:cantSplit/>
          <w:trHeight w:hRule="exact" w:val="340"/>
          <w:jc w:val="center"/>
        </w:trPr>
        <w:tc>
          <w:tcPr>
            <w:tcW w:w="4678" w:type="dxa"/>
            <w:tcBorders>
              <w:top w:val="single" w:sz="4" w:space="0" w:color="auto"/>
              <w:left w:val="single" w:sz="4" w:space="0" w:color="auto"/>
              <w:right w:val="single" w:sz="4" w:space="0" w:color="auto"/>
            </w:tcBorders>
            <w:shd w:val="clear" w:color="auto" w:fill="auto"/>
            <w:tcMar>
              <w:top w:w="0" w:type="dxa"/>
              <w:left w:w="13" w:type="dxa"/>
              <w:bottom w:w="0" w:type="dxa"/>
              <w:right w:w="13" w:type="dxa"/>
            </w:tcMar>
            <w:vAlign w:val="bottom"/>
          </w:tcPr>
          <w:p w14:paraId="553448AF" w14:textId="77777777" w:rsidR="00623903" w:rsidRPr="006F0CC2" w:rsidRDefault="00623903" w:rsidP="00C05B9D">
            <w:pPr>
              <w:rPr>
                <w:rFonts w:eastAsia="Batang"/>
                <w:sz w:val="20"/>
                <w:szCs w:val="20"/>
              </w:rPr>
            </w:pPr>
            <w:r w:rsidRPr="006F0CC2">
              <w:rPr>
                <w:rFonts w:eastAsia="Batang"/>
                <w:sz w:val="20"/>
                <w:szCs w:val="20"/>
              </w:rPr>
              <w:t>Diferencias Permanentes positivas</w:t>
            </w:r>
          </w:p>
        </w:tc>
        <w:tc>
          <w:tcPr>
            <w:tcW w:w="1732" w:type="dxa"/>
            <w:tcBorders>
              <w:top w:val="single" w:sz="4" w:space="0" w:color="auto"/>
              <w:left w:val="single" w:sz="4" w:space="0" w:color="auto"/>
              <w:right w:val="single" w:sz="4" w:space="0" w:color="auto"/>
            </w:tcBorders>
            <w:shd w:val="clear" w:color="auto" w:fill="auto"/>
            <w:tcMar>
              <w:top w:w="13" w:type="dxa"/>
              <w:left w:w="13" w:type="dxa"/>
              <w:bottom w:w="0" w:type="dxa"/>
              <w:right w:w="13" w:type="dxa"/>
            </w:tcMar>
            <w:vAlign w:val="bottom"/>
          </w:tcPr>
          <w:p w14:paraId="51D54587"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15.246.521,65</w:t>
            </w:r>
          </w:p>
        </w:tc>
        <w:tc>
          <w:tcPr>
            <w:tcW w:w="2145" w:type="dxa"/>
            <w:tcBorders>
              <w:top w:val="single" w:sz="4" w:space="0" w:color="auto"/>
              <w:left w:val="single" w:sz="4" w:space="0" w:color="auto"/>
              <w:right w:val="single" w:sz="4" w:space="0" w:color="auto"/>
            </w:tcBorders>
            <w:shd w:val="clear" w:color="auto" w:fill="auto"/>
            <w:vAlign w:val="bottom"/>
          </w:tcPr>
          <w:p w14:paraId="7DD931B8"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17.707.229,65</w:t>
            </w:r>
          </w:p>
        </w:tc>
      </w:tr>
      <w:tr w:rsidR="00623903" w:rsidRPr="006F0CC2" w14:paraId="27EF4A73" w14:textId="77777777" w:rsidTr="003F77FC">
        <w:trPr>
          <w:cantSplit/>
          <w:trHeight w:hRule="exact" w:val="340"/>
          <w:jc w:val="center"/>
        </w:trPr>
        <w:tc>
          <w:tcPr>
            <w:tcW w:w="4678" w:type="dxa"/>
            <w:tcBorders>
              <w:left w:val="single" w:sz="4" w:space="0" w:color="auto"/>
              <w:bottom w:val="nil"/>
              <w:right w:val="single" w:sz="4" w:space="0" w:color="auto"/>
            </w:tcBorders>
            <w:shd w:val="clear" w:color="auto" w:fill="auto"/>
            <w:tcMar>
              <w:top w:w="0" w:type="dxa"/>
              <w:left w:w="13" w:type="dxa"/>
              <w:bottom w:w="0" w:type="dxa"/>
              <w:right w:w="13" w:type="dxa"/>
            </w:tcMar>
            <w:vAlign w:val="bottom"/>
          </w:tcPr>
          <w:p w14:paraId="335E800C" w14:textId="77777777" w:rsidR="00623903" w:rsidRPr="006F0CC2" w:rsidRDefault="00623903" w:rsidP="00C05B9D">
            <w:pPr>
              <w:rPr>
                <w:rFonts w:eastAsia="Batang"/>
                <w:sz w:val="20"/>
                <w:szCs w:val="20"/>
              </w:rPr>
            </w:pPr>
            <w:r w:rsidRPr="006F0CC2">
              <w:rPr>
                <w:rFonts w:eastAsia="Batang"/>
                <w:sz w:val="20"/>
                <w:szCs w:val="20"/>
              </w:rPr>
              <w:t>Diferencias Permanentes negativas</w:t>
            </w:r>
          </w:p>
        </w:tc>
        <w:tc>
          <w:tcPr>
            <w:tcW w:w="1732" w:type="dxa"/>
            <w:tcBorders>
              <w:left w:val="single" w:sz="4" w:space="0" w:color="auto"/>
              <w:bottom w:val="nil"/>
              <w:right w:val="single" w:sz="4" w:space="0" w:color="auto"/>
            </w:tcBorders>
            <w:shd w:val="clear" w:color="auto" w:fill="auto"/>
            <w:tcMar>
              <w:top w:w="13" w:type="dxa"/>
              <w:left w:w="13" w:type="dxa"/>
              <w:bottom w:w="0" w:type="dxa"/>
              <w:right w:w="13" w:type="dxa"/>
            </w:tcMar>
            <w:vAlign w:val="bottom"/>
          </w:tcPr>
          <w:p w14:paraId="4B63090D"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(40.010.346,27)</w:t>
            </w:r>
          </w:p>
        </w:tc>
        <w:tc>
          <w:tcPr>
            <w:tcW w:w="2145" w:type="dxa"/>
            <w:tcBorders>
              <w:left w:val="single" w:sz="4" w:space="0" w:color="auto"/>
              <w:bottom w:val="nil"/>
              <w:right w:val="single" w:sz="4" w:space="0" w:color="auto"/>
            </w:tcBorders>
            <w:shd w:val="clear" w:color="auto" w:fill="auto"/>
            <w:vAlign w:val="bottom"/>
          </w:tcPr>
          <w:p w14:paraId="315F1682"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(9.086.014,89)</w:t>
            </w:r>
          </w:p>
        </w:tc>
      </w:tr>
      <w:tr w:rsidR="00623903" w:rsidRPr="006F0CC2" w14:paraId="77D21F70" w14:textId="77777777" w:rsidTr="003F77FC">
        <w:trPr>
          <w:cantSplit/>
          <w:trHeight w:hRule="exact" w:val="340"/>
          <w:jc w:val="center"/>
        </w:trPr>
        <w:tc>
          <w:tcPr>
            <w:tcW w:w="4678" w:type="dxa"/>
            <w:tcBorders>
              <w:top w:val="nil"/>
              <w:left w:val="single" w:sz="4" w:space="0" w:color="auto"/>
              <w:bottom w:val="nil"/>
              <w:right w:val="single" w:sz="4" w:space="0" w:color="auto"/>
            </w:tcBorders>
            <w:shd w:val="clear" w:color="auto" w:fill="auto"/>
            <w:tcMar>
              <w:top w:w="0" w:type="dxa"/>
              <w:left w:w="13" w:type="dxa"/>
              <w:bottom w:w="0" w:type="dxa"/>
              <w:right w:w="13" w:type="dxa"/>
            </w:tcMar>
            <w:vAlign w:val="bottom"/>
          </w:tcPr>
          <w:p w14:paraId="578A4980" w14:textId="77777777" w:rsidR="00623903" w:rsidRPr="006F0CC2" w:rsidRDefault="00623903" w:rsidP="00C05B9D">
            <w:pPr>
              <w:rPr>
                <w:rFonts w:eastAsia="Batang"/>
                <w:sz w:val="20"/>
                <w:szCs w:val="20"/>
              </w:rPr>
            </w:pPr>
            <w:r w:rsidRPr="006F0CC2">
              <w:rPr>
                <w:rFonts w:eastAsia="Batang"/>
                <w:sz w:val="20"/>
                <w:szCs w:val="20"/>
              </w:rPr>
              <w:t>Base Imponible homogeneizada previa</w:t>
            </w:r>
          </w:p>
        </w:tc>
        <w:tc>
          <w:tcPr>
            <w:tcW w:w="1732" w:type="dxa"/>
            <w:tcBorders>
              <w:top w:val="nil"/>
              <w:left w:val="single" w:sz="4" w:space="0" w:color="auto"/>
              <w:bottom w:val="nil"/>
              <w:right w:val="single" w:sz="4" w:space="0" w:color="auto"/>
            </w:tcBorders>
            <w:shd w:val="clear" w:color="auto" w:fill="auto"/>
            <w:tcMar>
              <w:top w:w="13" w:type="dxa"/>
              <w:left w:w="13" w:type="dxa"/>
              <w:bottom w:w="0" w:type="dxa"/>
              <w:right w:w="13" w:type="dxa"/>
            </w:tcMar>
            <w:vAlign w:val="bottom"/>
          </w:tcPr>
          <w:p w14:paraId="6F32A324"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15.318.532,05</w:t>
            </w:r>
          </w:p>
        </w:tc>
        <w:tc>
          <w:tcPr>
            <w:tcW w:w="2145" w:type="dxa"/>
            <w:tcBorders>
              <w:top w:val="nil"/>
              <w:left w:val="single" w:sz="4" w:space="0" w:color="auto"/>
              <w:bottom w:val="nil"/>
              <w:right w:val="single" w:sz="4" w:space="0" w:color="auto"/>
            </w:tcBorders>
            <w:shd w:val="clear" w:color="auto" w:fill="auto"/>
            <w:vAlign w:val="bottom"/>
          </w:tcPr>
          <w:p w14:paraId="04A98EA6"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17.761.509,63</w:t>
            </w:r>
          </w:p>
        </w:tc>
      </w:tr>
      <w:tr w:rsidR="00623903" w:rsidRPr="006F0CC2" w14:paraId="4C03CA0F" w14:textId="77777777" w:rsidTr="003F77FC">
        <w:trPr>
          <w:cantSplit/>
          <w:trHeight w:hRule="exact" w:val="340"/>
          <w:jc w:val="center"/>
        </w:trPr>
        <w:tc>
          <w:tcPr>
            <w:tcW w:w="4678" w:type="dxa"/>
            <w:tcBorders>
              <w:top w:val="nil"/>
              <w:left w:val="single" w:sz="4" w:space="0" w:color="auto"/>
              <w:bottom w:val="nil"/>
              <w:right w:val="single" w:sz="4" w:space="0" w:color="auto"/>
            </w:tcBorders>
            <w:shd w:val="clear" w:color="auto" w:fill="auto"/>
            <w:tcMar>
              <w:top w:w="0" w:type="dxa"/>
              <w:left w:w="13" w:type="dxa"/>
              <w:bottom w:w="0" w:type="dxa"/>
              <w:right w:w="13" w:type="dxa"/>
            </w:tcMar>
            <w:vAlign w:val="bottom"/>
          </w:tcPr>
          <w:p w14:paraId="530D012D" w14:textId="6B094E06" w:rsidR="00623903" w:rsidRPr="006F0CC2" w:rsidRDefault="00623903" w:rsidP="00C05B9D">
            <w:pPr>
              <w:rPr>
                <w:rFonts w:eastAsia="Batang"/>
                <w:sz w:val="20"/>
                <w:szCs w:val="20"/>
              </w:rPr>
            </w:pPr>
            <w:r w:rsidRPr="006F0CC2">
              <w:rPr>
                <w:rFonts w:eastAsia="Batang"/>
                <w:sz w:val="20"/>
                <w:szCs w:val="20"/>
              </w:rPr>
              <w:t>Compensación de B</w:t>
            </w:r>
            <w:r w:rsidR="00F25F25">
              <w:rPr>
                <w:rFonts w:eastAsia="Batang"/>
                <w:sz w:val="20"/>
                <w:szCs w:val="20"/>
              </w:rPr>
              <w:t>ases imponibles negativas</w:t>
            </w:r>
          </w:p>
        </w:tc>
        <w:tc>
          <w:tcPr>
            <w:tcW w:w="1732" w:type="dxa"/>
            <w:tcBorders>
              <w:top w:val="nil"/>
              <w:left w:val="single" w:sz="4" w:space="0" w:color="auto"/>
              <w:bottom w:val="nil"/>
              <w:right w:val="single" w:sz="4" w:space="0" w:color="auto"/>
            </w:tcBorders>
            <w:shd w:val="clear" w:color="auto" w:fill="auto"/>
            <w:tcMar>
              <w:top w:w="13" w:type="dxa"/>
              <w:left w:w="13" w:type="dxa"/>
              <w:bottom w:w="0" w:type="dxa"/>
              <w:right w:w="13" w:type="dxa"/>
            </w:tcMar>
            <w:vAlign w:val="bottom"/>
          </w:tcPr>
          <w:p w14:paraId="34F2EDFF"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(3.829.633,01)</w:t>
            </w:r>
          </w:p>
        </w:tc>
        <w:tc>
          <w:tcPr>
            <w:tcW w:w="2145" w:type="dxa"/>
            <w:tcBorders>
              <w:top w:val="nil"/>
              <w:left w:val="single" w:sz="4" w:space="0" w:color="auto"/>
              <w:bottom w:val="nil"/>
              <w:right w:val="single" w:sz="4" w:space="0" w:color="auto"/>
            </w:tcBorders>
            <w:shd w:val="clear" w:color="auto" w:fill="auto"/>
            <w:vAlign w:val="bottom"/>
          </w:tcPr>
          <w:p w14:paraId="66A11086"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(4.440.377,41)</w:t>
            </w:r>
          </w:p>
        </w:tc>
      </w:tr>
      <w:tr w:rsidR="00623903" w:rsidRPr="006F0CC2" w14:paraId="38EBEB1B" w14:textId="77777777" w:rsidTr="003F77FC">
        <w:trPr>
          <w:cantSplit/>
          <w:trHeight w:hRule="exact" w:val="340"/>
          <w:jc w:val="center"/>
        </w:trPr>
        <w:tc>
          <w:tcPr>
            <w:tcW w:w="4678" w:type="dxa"/>
            <w:tcBorders>
              <w:top w:val="nil"/>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486B7212" w14:textId="77777777" w:rsidR="00623903" w:rsidRPr="006F0CC2" w:rsidRDefault="00623903" w:rsidP="00C05B9D">
            <w:pPr>
              <w:rPr>
                <w:rFonts w:eastAsia="Batang"/>
                <w:sz w:val="20"/>
                <w:szCs w:val="20"/>
              </w:rPr>
            </w:pPr>
            <w:r w:rsidRPr="006F0CC2">
              <w:rPr>
                <w:rFonts w:eastAsia="Batang"/>
                <w:sz w:val="20"/>
                <w:szCs w:val="20"/>
              </w:rPr>
              <w:t>Base Imponible homogeneizada del ejercicio</w:t>
            </w:r>
          </w:p>
        </w:tc>
        <w:tc>
          <w:tcPr>
            <w:tcW w:w="173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5D040776"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11.488.899,04</w:t>
            </w:r>
          </w:p>
        </w:tc>
        <w:tc>
          <w:tcPr>
            <w:tcW w:w="2145" w:type="dxa"/>
            <w:tcBorders>
              <w:top w:val="nil"/>
              <w:left w:val="single" w:sz="4" w:space="0" w:color="auto"/>
              <w:bottom w:val="single" w:sz="4" w:space="0" w:color="auto"/>
              <w:right w:val="single" w:sz="4" w:space="0" w:color="auto"/>
            </w:tcBorders>
            <w:shd w:val="clear" w:color="auto" w:fill="auto"/>
            <w:vAlign w:val="bottom"/>
          </w:tcPr>
          <w:p w14:paraId="7E9F1B6C"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13.321.132,22</w:t>
            </w:r>
          </w:p>
        </w:tc>
      </w:tr>
      <w:tr w:rsidR="00623903" w:rsidRPr="006F0CC2" w14:paraId="67915B23" w14:textId="77777777" w:rsidTr="003F77FC">
        <w:trPr>
          <w:cantSplit/>
          <w:trHeight w:hRule="exact" w:val="340"/>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4DA741CD" w14:textId="77777777" w:rsidR="00623903" w:rsidRPr="006F0CC2" w:rsidRDefault="00623903" w:rsidP="00C05B9D">
            <w:pPr>
              <w:rPr>
                <w:rFonts w:eastAsia="Batang"/>
                <w:sz w:val="20"/>
                <w:szCs w:val="20"/>
              </w:rPr>
            </w:pPr>
            <w:r w:rsidRPr="006F0CC2">
              <w:rPr>
                <w:rFonts w:eastAsia="Batang"/>
                <w:bCs/>
                <w:sz w:val="20"/>
                <w:szCs w:val="20"/>
              </w:rPr>
              <w:t>Recompra de Crédito Fiscal (1)</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24942AE5"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1.072.297,24</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14:paraId="633E495D"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1.243.305,67</w:t>
            </w:r>
          </w:p>
        </w:tc>
      </w:tr>
      <w:tr w:rsidR="00623903" w:rsidRPr="006F0CC2" w14:paraId="1B845DF3" w14:textId="77777777" w:rsidTr="003F77FC">
        <w:trPr>
          <w:cantSplit/>
          <w:trHeight w:hRule="exact" w:val="340"/>
          <w:jc w:val="center"/>
        </w:trPr>
        <w:tc>
          <w:tcPr>
            <w:tcW w:w="4678" w:type="dxa"/>
            <w:tcBorders>
              <w:top w:val="single" w:sz="4" w:space="0" w:color="auto"/>
              <w:left w:val="single" w:sz="4" w:space="0" w:color="auto"/>
              <w:bottom w:val="nil"/>
              <w:right w:val="single" w:sz="4" w:space="0" w:color="auto"/>
            </w:tcBorders>
            <w:shd w:val="clear" w:color="auto" w:fill="auto"/>
            <w:tcMar>
              <w:top w:w="0" w:type="dxa"/>
              <w:left w:w="13" w:type="dxa"/>
              <w:bottom w:w="0" w:type="dxa"/>
              <w:right w:w="13" w:type="dxa"/>
            </w:tcMar>
            <w:vAlign w:val="bottom"/>
          </w:tcPr>
          <w:p w14:paraId="4E622C33" w14:textId="77777777" w:rsidR="00623903" w:rsidRPr="006F0CC2" w:rsidRDefault="00623903" w:rsidP="00C05B9D">
            <w:pPr>
              <w:rPr>
                <w:rFonts w:eastAsia="Batang"/>
                <w:sz w:val="20"/>
                <w:szCs w:val="20"/>
              </w:rPr>
            </w:pPr>
            <w:r w:rsidRPr="006F0CC2">
              <w:rPr>
                <w:rFonts w:eastAsia="Batang"/>
                <w:sz w:val="20"/>
                <w:szCs w:val="20"/>
              </w:rPr>
              <w:t>Cuota íntegra</w:t>
            </w:r>
          </w:p>
        </w:tc>
        <w:tc>
          <w:tcPr>
            <w:tcW w:w="1732" w:type="dxa"/>
            <w:tcBorders>
              <w:top w:val="single" w:sz="4" w:space="0" w:color="auto"/>
              <w:left w:val="single" w:sz="4" w:space="0" w:color="auto"/>
              <w:bottom w:val="nil"/>
              <w:right w:val="single" w:sz="4" w:space="0" w:color="auto"/>
            </w:tcBorders>
            <w:shd w:val="clear" w:color="auto" w:fill="auto"/>
            <w:tcMar>
              <w:top w:w="13" w:type="dxa"/>
              <w:left w:w="13" w:type="dxa"/>
              <w:bottom w:w="0" w:type="dxa"/>
              <w:right w:w="13" w:type="dxa"/>
            </w:tcMar>
            <w:vAlign w:val="bottom"/>
          </w:tcPr>
          <w:p w14:paraId="27467C3E" w14:textId="77777777" w:rsidR="00623903" w:rsidRPr="006F0CC2" w:rsidRDefault="00623903" w:rsidP="003F77FC">
            <w:pPr>
              <w:spacing w:line="240" w:lineRule="auto"/>
              <w:ind w:left="142" w:right="153"/>
              <w:jc w:val="right"/>
              <w:rPr>
                <w:rFonts w:eastAsia="Batang"/>
                <w:sz w:val="20"/>
                <w:szCs w:val="20"/>
              </w:rPr>
            </w:pPr>
            <w:r w:rsidRPr="006F0CC2">
              <w:rPr>
                <w:rFonts w:eastAsia="Batang"/>
                <w:sz w:val="20"/>
                <w:szCs w:val="20"/>
              </w:rPr>
              <w:t>2.872.224,76</w:t>
            </w:r>
          </w:p>
        </w:tc>
        <w:tc>
          <w:tcPr>
            <w:tcW w:w="2145" w:type="dxa"/>
            <w:tcBorders>
              <w:top w:val="single" w:sz="4" w:space="0" w:color="auto"/>
              <w:left w:val="single" w:sz="4" w:space="0" w:color="auto"/>
              <w:bottom w:val="nil"/>
              <w:right w:val="single" w:sz="4" w:space="0" w:color="auto"/>
            </w:tcBorders>
            <w:shd w:val="clear" w:color="auto" w:fill="auto"/>
            <w:vAlign w:val="bottom"/>
          </w:tcPr>
          <w:p w14:paraId="56191696"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3.330.283,06</w:t>
            </w:r>
          </w:p>
        </w:tc>
      </w:tr>
      <w:tr w:rsidR="00623903" w:rsidRPr="006F0CC2" w14:paraId="44FE1F5D" w14:textId="77777777" w:rsidTr="003F77FC">
        <w:trPr>
          <w:cantSplit/>
          <w:trHeight w:hRule="exact" w:val="340"/>
          <w:jc w:val="center"/>
        </w:trPr>
        <w:tc>
          <w:tcPr>
            <w:tcW w:w="4678" w:type="dxa"/>
            <w:tcBorders>
              <w:top w:val="nil"/>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4014E481" w14:textId="77777777" w:rsidR="00623903" w:rsidRPr="006F0CC2" w:rsidRDefault="00623903" w:rsidP="00C05B9D">
            <w:pPr>
              <w:rPr>
                <w:rFonts w:eastAsia="Batang"/>
                <w:sz w:val="20"/>
                <w:szCs w:val="20"/>
              </w:rPr>
            </w:pPr>
            <w:r w:rsidRPr="006F0CC2">
              <w:rPr>
                <w:rFonts w:eastAsia="Batang"/>
                <w:sz w:val="20"/>
                <w:szCs w:val="20"/>
              </w:rPr>
              <w:t>Deducción por doble imposición aplicada</w:t>
            </w:r>
          </w:p>
        </w:tc>
        <w:tc>
          <w:tcPr>
            <w:tcW w:w="1732"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7C8F0FA9" w14:textId="77777777" w:rsidR="00623903" w:rsidRPr="006F0CC2" w:rsidRDefault="00623903" w:rsidP="003F77FC">
            <w:pPr>
              <w:spacing w:line="240" w:lineRule="auto"/>
              <w:ind w:left="142" w:right="153"/>
              <w:jc w:val="center"/>
              <w:rPr>
                <w:rFonts w:eastAsia="Batang"/>
                <w:sz w:val="20"/>
                <w:szCs w:val="20"/>
              </w:rPr>
            </w:pPr>
            <w:r w:rsidRPr="006F0CC2">
              <w:rPr>
                <w:rFonts w:eastAsia="Batang"/>
                <w:sz w:val="20"/>
                <w:szCs w:val="20"/>
              </w:rPr>
              <w:t>-</w:t>
            </w:r>
          </w:p>
        </w:tc>
        <w:tc>
          <w:tcPr>
            <w:tcW w:w="2145" w:type="dxa"/>
            <w:tcBorders>
              <w:top w:val="nil"/>
              <w:left w:val="single" w:sz="4" w:space="0" w:color="auto"/>
              <w:bottom w:val="single" w:sz="4" w:space="0" w:color="auto"/>
              <w:right w:val="single" w:sz="4" w:space="0" w:color="auto"/>
            </w:tcBorders>
            <w:shd w:val="clear" w:color="auto" w:fill="auto"/>
            <w:vAlign w:val="bottom"/>
          </w:tcPr>
          <w:p w14:paraId="1758CEB1" w14:textId="77777777" w:rsidR="00623903" w:rsidRPr="006F0CC2" w:rsidRDefault="00623903" w:rsidP="003F77FC">
            <w:pPr>
              <w:spacing w:line="240" w:lineRule="auto"/>
              <w:ind w:left="142" w:right="187"/>
              <w:jc w:val="right"/>
              <w:rPr>
                <w:rFonts w:eastAsia="Batang"/>
                <w:sz w:val="20"/>
                <w:szCs w:val="20"/>
              </w:rPr>
            </w:pPr>
            <w:r w:rsidRPr="006F0CC2">
              <w:rPr>
                <w:rFonts w:eastAsia="Batang"/>
                <w:sz w:val="20"/>
                <w:szCs w:val="20"/>
              </w:rPr>
              <w:t>(346.215,27)</w:t>
            </w:r>
          </w:p>
        </w:tc>
      </w:tr>
      <w:tr w:rsidR="00623903" w:rsidRPr="006F0CC2" w14:paraId="13273DEB" w14:textId="77777777" w:rsidTr="003F77FC">
        <w:trPr>
          <w:cantSplit/>
          <w:trHeight w:hRule="exact" w:val="340"/>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6405FC10" w14:textId="77777777" w:rsidR="00623903" w:rsidRPr="006F0CC2" w:rsidRDefault="00623903" w:rsidP="00C05B9D">
            <w:pPr>
              <w:rPr>
                <w:rFonts w:eastAsia="Batang"/>
                <w:bCs/>
                <w:sz w:val="20"/>
                <w:szCs w:val="20"/>
              </w:rPr>
            </w:pPr>
            <w:r w:rsidRPr="006F0CC2">
              <w:rPr>
                <w:rFonts w:eastAsia="Batang"/>
                <w:bCs/>
                <w:sz w:val="20"/>
                <w:szCs w:val="20"/>
              </w:rPr>
              <w:t>Cuota Líquida (2)</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54A3E460" w14:textId="77777777" w:rsidR="00623903" w:rsidRPr="006F0CC2" w:rsidRDefault="00623903" w:rsidP="003F77FC">
            <w:pPr>
              <w:spacing w:line="240" w:lineRule="auto"/>
              <w:ind w:left="142" w:right="153"/>
              <w:jc w:val="right"/>
              <w:rPr>
                <w:rFonts w:eastAsia="Batang"/>
                <w:bCs/>
                <w:sz w:val="20"/>
                <w:szCs w:val="20"/>
              </w:rPr>
            </w:pPr>
            <w:r w:rsidRPr="006F0CC2">
              <w:rPr>
                <w:rFonts w:eastAsia="Batang"/>
                <w:bCs/>
                <w:sz w:val="20"/>
                <w:szCs w:val="20"/>
              </w:rPr>
              <w:t>2.872.224,76</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14:paraId="2E7D2CAA" w14:textId="77777777" w:rsidR="00623903" w:rsidRPr="006F0CC2" w:rsidRDefault="00623903" w:rsidP="003F77FC">
            <w:pPr>
              <w:spacing w:line="240" w:lineRule="auto"/>
              <w:ind w:left="142" w:right="187"/>
              <w:jc w:val="right"/>
              <w:rPr>
                <w:rFonts w:eastAsia="Batang"/>
                <w:bCs/>
                <w:sz w:val="20"/>
                <w:szCs w:val="20"/>
              </w:rPr>
            </w:pPr>
            <w:r w:rsidRPr="006F0CC2">
              <w:rPr>
                <w:rFonts w:eastAsia="Batang"/>
                <w:bCs/>
                <w:sz w:val="20"/>
                <w:szCs w:val="20"/>
              </w:rPr>
              <w:t>2.984.067,79</w:t>
            </w:r>
          </w:p>
        </w:tc>
      </w:tr>
      <w:tr w:rsidR="00623903" w:rsidRPr="006F0CC2" w14:paraId="0FCC4E87" w14:textId="77777777" w:rsidTr="003F77FC">
        <w:trPr>
          <w:cantSplit/>
          <w:trHeight w:hRule="exact" w:val="340"/>
          <w:jc w:val="center"/>
        </w:trPr>
        <w:tc>
          <w:tcPr>
            <w:tcW w:w="4678" w:type="dxa"/>
            <w:tcBorders>
              <w:top w:val="single" w:sz="4" w:space="0" w:color="auto"/>
              <w:left w:val="single" w:sz="4" w:space="0" w:color="auto"/>
              <w:right w:val="single" w:sz="4" w:space="0" w:color="auto"/>
            </w:tcBorders>
            <w:shd w:val="clear" w:color="auto" w:fill="auto"/>
            <w:tcMar>
              <w:top w:w="0" w:type="dxa"/>
              <w:left w:w="13" w:type="dxa"/>
              <w:bottom w:w="0" w:type="dxa"/>
              <w:right w:w="13" w:type="dxa"/>
            </w:tcMar>
            <w:vAlign w:val="bottom"/>
          </w:tcPr>
          <w:p w14:paraId="637F10C6" w14:textId="77777777" w:rsidR="00623903" w:rsidRPr="006F0CC2" w:rsidRDefault="00623903" w:rsidP="00C05B9D">
            <w:pPr>
              <w:rPr>
                <w:rFonts w:eastAsia="Batang"/>
                <w:bCs/>
                <w:sz w:val="20"/>
                <w:szCs w:val="20"/>
              </w:rPr>
            </w:pPr>
            <w:r w:rsidRPr="006F0CC2">
              <w:rPr>
                <w:rFonts w:eastAsia="Batang"/>
                <w:bCs/>
                <w:sz w:val="20"/>
                <w:szCs w:val="20"/>
              </w:rPr>
              <w:t>Retenciones</w:t>
            </w:r>
          </w:p>
        </w:tc>
        <w:tc>
          <w:tcPr>
            <w:tcW w:w="1732" w:type="dxa"/>
            <w:tcBorders>
              <w:top w:val="single" w:sz="4" w:space="0" w:color="auto"/>
              <w:left w:val="single" w:sz="4" w:space="0" w:color="auto"/>
              <w:bottom w:val="nil"/>
              <w:right w:val="single" w:sz="4" w:space="0" w:color="auto"/>
            </w:tcBorders>
            <w:tcMar>
              <w:top w:w="13" w:type="dxa"/>
              <w:left w:w="13" w:type="dxa"/>
              <w:bottom w:w="0" w:type="dxa"/>
              <w:right w:w="13" w:type="dxa"/>
            </w:tcMar>
            <w:vAlign w:val="bottom"/>
          </w:tcPr>
          <w:p w14:paraId="1CB362CF" w14:textId="77777777" w:rsidR="00623903" w:rsidRPr="006F0CC2" w:rsidRDefault="00623903" w:rsidP="003F77FC">
            <w:pPr>
              <w:spacing w:line="240" w:lineRule="auto"/>
              <w:ind w:left="142" w:right="153"/>
              <w:jc w:val="right"/>
              <w:rPr>
                <w:rFonts w:eastAsia="Batang"/>
                <w:bCs/>
                <w:sz w:val="20"/>
                <w:szCs w:val="20"/>
              </w:rPr>
            </w:pPr>
            <w:r>
              <w:rPr>
                <w:rFonts w:eastAsia="Batang"/>
                <w:bCs/>
                <w:sz w:val="20"/>
                <w:szCs w:val="20"/>
              </w:rPr>
              <w:t>26.462,89</w:t>
            </w:r>
          </w:p>
        </w:tc>
        <w:tc>
          <w:tcPr>
            <w:tcW w:w="2145" w:type="dxa"/>
            <w:tcBorders>
              <w:top w:val="single" w:sz="4" w:space="0" w:color="auto"/>
              <w:left w:val="single" w:sz="4" w:space="0" w:color="auto"/>
              <w:right w:val="single" w:sz="4" w:space="0" w:color="auto"/>
            </w:tcBorders>
            <w:shd w:val="clear" w:color="auto" w:fill="auto"/>
            <w:vAlign w:val="bottom"/>
          </w:tcPr>
          <w:p w14:paraId="28E261BD" w14:textId="77777777" w:rsidR="00623903" w:rsidRPr="006F0CC2" w:rsidRDefault="00623903" w:rsidP="003F77FC">
            <w:pPr>
              <w:spacing w:line="240" w:lineRule="auto"/>
              <w:ind w:left="142" w:right="187"/>
              <w:jc w:val="right"/>
              <w:rPr>
                <w:rFonts w:eastAsia="Batang"/>
                <w:bCs/>
                <w:sz w:val="20"/>
                <w:szCs w:val="20"/>
              </w:rPr>
            </w:pPr>
            <w:r w:rsidRPr="006F0CC2">
              <w:rPr>
                <w:rFonts w:eastAsia="Batang"/>
                <w:bCs/>
                <w:sz w:val="20"/>
                <w:szCs w:val="20"/>
              </w:rPr>
              <w:t>27.941,32</w:t>
            </w:r>
          </w:p>
        </w:tc>
      </w:tr>
      <w:tr w:rsidR="00623903" w:rsidRPr="006F0CC2" w14:paraId="627A135C" w14:textId="77777777" w:rsidTr="003F77FC">
        <w:trPr>
          <w:cantSplit/>
          <w:trHeight w:hRule="exact" w:val="340"/>
          <w:jc w:val="center"/>
        </w:trPr>
        <w:tc>
          <w:tcPr>
            <w:tcW w:w="4678" w:type="dxa"/>
            <w:tcBorders>
              <w:top w:val="nil"/>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2BED53BB" w14:textId="77777777" w:rsidR="00623903" w:rsidRPr="006F0CC2" w:rsidRDefault="00623903" w:rsidP="00C05B9D">
            <w:pPr>
              <w:rPr>
                <w:rFonts w:eastAsia="Batang"/>
                <w:bCs/>
                <w:sz w:val="20"/>
                <w:szCs w:val="20"/>
              </w:rPr>
            </w:pPr>
            <w:r w:rsidRPr="006F0CC2">
              <w:rPr>
                <w:rFonts w:eastAsia="Batang"/>
                <w:bCs/>
                <w:sz w:val="20"/>
                <w:szCs w:val="20"/>
              </w:rPr>
              <w:t>Cuota diferencial</w:t>
            </w:r>
          </w:p>
        </w:tc>
        <w:tc>
          <w:tcPr>
            <w:tcW w:w="1732"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14:paraId="4AB1F9BC" w14:textId="77777777" w:rsidR="00623903" w:rsidRPr="006F0CC2" w:rsidRDefault="00623903" w:rsidP="003F77FC">
            <w:pPr>
              <w:spacing w:line="240" w:lineRule="auto"/>
              <w:ind w:left="142" w:right="153"/>
              <w:jc w:val="right"/>
              <w:rPr>
                <w:rFonts w:eastAsia="Batang"/>
                <w:bCs/>
                <w:sz w:val="20"/>
                <w:szCs w:val="20"/>
              </w:rPr>
            </w:pPr>
            <w:r>
              <w:rPr>
                <w:rFonts w:eastAsia="Batang"/>
                <w:bCs/>
                <w:sz w:val="20"/>
                <w:szCs w:val="20"/>
              </w:rPr>
              <w:t>2.845.761,87</w:t>
            </w:r>
          </w:p>
        </w:tc>
        <w:tc>
          <w:tcPr>
            <w:tcW w:w="2145" w:type="dxa"/>
            <w:tcBorders>
              <w:top w:val="nil"/>
              <w:left w:val="single" w:sz="4" w:space="0" w:color="auto"/>
              <w:bottom w:val="single" w:sz="4" w:space="0" w:color="auto"/>
              <w:right w:val="single" w:sz="4" w:space="0" w:color="auto"/>
            </w:tcBorders>
            <w:shd w:val="clear" w:color="auto" w:fill="auto"/>
            <w:vAlign w:val="bottom"/>
          </w:tcPr>
          <w:p w14:paraId="28C6821B" w14:textId="77777777" w:rsidR="00623903" w:rsidRPr="006F0CC2" w:rsidRDefault="00623903" w:rsidP="003F77FC">
            <w:pPr>
              <w:spacing w:line="240" w:lineRule="auto"/>
              <w:ind w:left="142" w:right="187"/>
              <w:jc w:val="right"/>
              <w:rPr>
                <w:rFonts w:eastAsia="Batang"/>
                <w:bCs/>
                <w:sz w:val="20"/>
                <w:szCs w:val="20"/>
              </w:rPr>
            </w:pPr>
            <w:r w:rsidRPr="006F0CC2">
              <w:rPr>
                <w:rFonts w:eastAsia="Batang"/>
                <w:bCs/>
                <w:sz w:val="20"/>
                <w:szCs w:val="20"/>
              </w:rPr>
              <w:t>2.956.126,47</w:t>
            </w:r>
          </w:p>
        </w:tc>
      </w:tr>
      <w:tr w:rsidR="00623903" w:rsidRPr="004E0030" w14:paraId="417A0515" w14:textId="77777777" w:rsidTr="003F77FC">
        <w:trPr>
          <w:cantSplit/>
          <w:trHeight w:hRule="exact" w:val="340"/>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3" w:type="dxa"/>
              <w:bottom w:w="0" w:type="dxa"/>
              <w:right w:w="13" w:type="dxa"/>
            </w:tcMar>
            <w:vAlign w:val="bottom"/>
          </w:tcPr>
          <w:p w14:paraId="00458A31" w14:textId="07558F7C" w:rsidR="00623903" w:rsidRPr="006F0CC2" w:rsidRDefault="00623903" w:rsidP="00C05B9D">
            <w:pPr>
              <w:rPr>
                <w:rFonts w:eastAsia="Batang"/>
                <w:b/>
                <w:bCs/>
                <w:sz w:val="20"/>
                <w:szCs w:val="20"/>
              </w:rPr>
            </w:pPr>
            <w:r w:rsidRPr="006F0CC2">
              <w:rPr>
                <w:rFonts w:eastAsia="Batang"/>
                <w:b/>
                <w:bCs/>
                <w:sz w:val="20"/>
                <w:szCs w:val="20"/>
              </w:rPr>
              <w:t xml:space="preserve">Impuesto sobre beneficios del ejercicio (1)+(2) </w:t>
            </w:r>
          </w:p>
        </w:tc>
        <w:tc>
          <w:tcPr>
            <w:tcW w:w="1732"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bottom"/>
          </w:tcPr>
          <w:p w14:paraId="06D31E25" w14:textId="77777777" w:rsidR="00623903" w:rsidRPr="006F0CC2" w:rsidRDefault="00623903" w:rsidP="003F77FC">
            <w:pPr>
              <w:spacing w:line="240" w:lineRule="auto"/>
              <w:ind w:left="142" w:right="153"/>
              <w:jc w:val="right"/>
              <w:rPr>
                <w:rFonts w:eastAsia="Batang"/>
                <w:b/>
                <w:bCs/>
                <w:sz w:val="20"/>
                <w:szCs w:val="20"/>
              </w:rPr>
            </w:pPr>
            <w:r w:rsidRPr="006F0CC2">
              <w:rPr>
                <w:rFonts w:eastAsia="Batang"/>
                <w:b/>
                <w:bCs/>
                <w:sz w:val="20"/>
                <w:szCs w:val="20"/>
              </w:rPr>
              <w:t>3.944.522,00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14:paraId="6C382896" w14:textId="77777777" w:rsidR="00623903" w:rsidRPr="006F0CC2" w:rsidRDefault="00623903" w:rsidP="003F77FC">
            <w:pPr>
              <w:spacing w:line="240" w:lineRule="auto"/>
              <w:ind w:left="142" w:right="187"/>
              <w:jc w:val="right"/>
              <w:rPr>
                <w:rFonts w:eastAsia="Batang"/>
                <w:b/>
                <w:bCs/>
                <w:sz w:val="20"/>
                <w:szCs w:val="20"/>
              </w:rPr>
            </w:pPr>
            <w:r w:rsidRPr="006F0CC2">
              <w:rPr>
                <w:rFonts w:eastAsia="Batang"/>
                <w:b/>
                <w:bCs/>
                <w:sz w:val="20"/>
                <w:szCs w:val="20"/>
              </w:rPr>
              <w:t>4.227.373,46</w:t>
            </w:r>
          </w:p>
        </w:tc>
      </w:tr>
    </w:tbl>
    <w:p w14:paraId="0121D844" w14:textId="7BCBFC51" w:rsidR="00623903" w:rsidRDefault="00623903" w:rsidP="00623903">
      <w:pPr>
        <w:ind w:left="708"/>
        <w:jc w:val="both"/>
        <w:rPr>
          <w:rFonts w:eastAsia="Batang" w:cs="Times New Roman"/>
          <w:szCs w:val="24"/>
          <w:lang w:val="es-ES_tradnl" w:eastAsia="es-ES"/>
        </w:rPr>
      </w:pPr>
    </w:p>
    <w:p w14:paraId="5B9BA284" w14:textId="7CB67BCA" w:rsidR="003F77FC" w:rsidRDefault="003F77FC" w:rsidP="00623903">
      <w:pPr>
        <w:ind w:left="708"/>
        <w:jc w:val="both"/>
        <w:rPr>
          <w:rFonts w:eastAsia="Batang" w:cs="Times New Roman"/>
          <w:szCs w:val="24"/>
          <w:lang w:val="es-ES_tradnl" w:eastAsia="es-ES"/>
        </w:rPr>
      </w:pPr>
    </w:p>
    <w:p w14:paraId="7FB7EC6A" w14:textId="77777777" w:rsidR="003F77FC" w:rsidRDefault="003F77FC" w:rsidP="00623903">
      <w:pPr>
        <w:ind w:left="708"/>
        <w:jc w:val="both"/>
        <w:rPr>
          <w:rFonts w:eastAsia="Batang" w:cs="Times New Roman"/>
          <w:szCs w:val="24"/>
          <w:lang w:val="es-ES_tradnl" w:eastAsia="es-ES"/>
        </w:rPr>
      </w:pPr>
    </w:p>
    <w:p w14:paraId="0A724FD2" w14:textId="77777777" w:rsidR="00623903" w:rsidRPr="00C21B41" w:rsidRDefault="00623903" w:rsidP="00623903">
      <w:pPr>
        <w:ind w:left="708"/>
        <w:jc w:val="both"/>
        <w:rPr>
          <w:rFonts w:eastAsia="Batang" w:cs="Times New Roman"/>
          <w:szCs w:val="24"/>
          <w:lang w:val="es-ES_tradnl" w:eastAsia="es-ES"/>
        </w:rPr>
      </w:pPr>
      <w:r w:rsidRPr="006F0CC2">
        <w:rPr>
          <w:rFonts w:eastAsia="Batang" w:cs="Times New Roman"/>
          <w:szCs w:val="24"/>
          <w:lang w:val="es-ES_tradnl" w:eastAsia="es-ES"/>
        </w:rPr>
        <w:lastRenderedPageBreak/>
        <w:t>La Sociedad ha percibido dividendos durante el ejercicio 2020 por importe de 40.010.346,27 euros, lo cual ha generado una diferencia permanente negativa en la liquidación del impuesto, como consecuencia del régimen de exención como método para evitar la doble imposición de dividendos establecido en la nueva regulación, en virtud del artículo 21 de la Ley 27/2014, de 27 de noviembre, del Impuesto sobre Sociedades.</w:t>
      </w:r>
    </w:p>
    <w:p w14:paraId="5E6CD7B9" w14:textId="77777777" w:rsidR="00623903" w:rsidRPr="006F0CC2" w:rsidRDefault="00623903" w:rsidP="00623903">
      <w:pPr>
        <w:ind w:left="708"/>
        <w:jc w:val="both"/>
        <w:rPr>
          <w:rFonts w:eastAsia="Batang" w:cs="Times New Roman"/>
          <w:szCs w:val="24"/>
          <w:lang w:val="es-ES_tradnl" w:eastAsia="es-ES"/>
        </w:rPr>
      </w:pPr>
      <w:r w:rsidRPr="006F0CC2">
        <w:rPr>
          <w:rFonts w:eastAsia="Batang" w:cs="Times New Roman"/>
          <w:szCs w:val="24"/>
          <w:lang w:val="es-ES_tradnl" w:eastAsia="es-ES"/>
        </w:rPr>
        <w:t>Para poder aplicar la mencionada exención, se ha comprobado que se cumplen los requisitos establecidos en el art. 21.1 de dicho cuerpo legal, el cual exige que el porcentaje de participación en el capital de la entidad participada sea igual o superior al 5%, o que el valor de la participación sea superior a veinte millones de euros y que la misma se haya poseído durante al menos un año.</w:t>
      </w:r>
    </w:p>
    <w:p w14:paraId="109CAE89" w14:textId="77777777" w:rsidR="00623903" w:rsidRPr="006F0CC2" w:rsidRDefault="00623903" w:rsidP="00623903">
      <w:pPr>
        <w:ind w:left="708"/>
        <w:jc w:val="both"/>
        <w:rPr>
          <w:rFonts w:eastAsia="Batang" w:cs="Times New Roman"/>
          <w:szCs w:val="24"/>
          <w:lang w:val="es-ES_tradnl" w:eastAsia="es-ES"/>
        </w:rPr>
      </w:pPr>
      <w:r w:rsidRPr="006F0CC2">
        <w:rPr>
          <w:rFonts w:eastAsia="Batang" w:cs="Times New Roman"/>
          <w:szCs w:val="24"/>
          <w:lang w:val="es-ES_tradnl" w:eastAsia="es-ES"/>
        </w:rPr>
        <w:t xml:space="preserve">La diferencia permanente positiva proviene de la reversión del deterioro de la cartera de EBRO FOODS experimentado en el ejercicio 2008, al haberse integrado como gasto deducible en el Impuesto sobre Sociedades de dicho periodo impositivo. </w:t>
      </w:r>
    </w:p>
    <w:p w14:paraId="65E08327" w14:textId="77777777" w:rsidR="00623903" w:rsidRPr="006F0CC2" w:rsidRDefault="00623903" w:rsidP="00623903">
      <w:pPr>
        <w:ind w:left="708"/>
        <w:jc w:val="both"/>
        <w:rPr>
          <w:rFonts w:eastAsia="Batang" w:cs="Times New Roman"/>
          <w:szCs w:val="24"/>
          <w:lang w:val="es-ES_tradnl" w:eastAsia="es-ES"/>
        </w:rPr>
      </w:pPr>
      <w:r w:rsidRPr="006F0CC2">
        <w:rPr>
          <w:rFonts w:eastAsia="Batang" w:cs="Times New Roman"/>
          <w:szCs w:val="24"/>
          <w:lang w:val="es-ES_tradnl" w:eastAsia="es-ES"/>
        </w:rPr>
        <w:t>El artículo 3, apartado Primero. Dos del Real Decreto-ley 3/2016, de 2 de diciembre, modificó la disposición transitoria decimosexta (DT 16ª) de la Ley 27/2014, de 27 de noviembre, del Impuesto sobre Sociedades, donde se dispone que la reversión de las perdidas por deterioro de valor de participaciones que resultaron fiscalmente deducibles en periodos impositivos previos a 2013, deberá realizarse por un importe mínimo anual, de forma lineal durante cinco años. Si bien, en el supuesto de que se produzca una reversión de un importe superior por aplicación de los artículos 1 o 2, por una mejora en los fondos propios de la filial o una recuperación de su valor contable (para entidades cotizadas), el saldo que se reste se integrará por partes iguales entre los restantes periodos impositivos.</w:t>
      </w:r>
    </w:p>
    <w:p w14:paraId="3366D635" w14:textId="0A3F5BF8" w:rsidR="00623903" w:rsidRPr="00A43829" w:rsidRDefault="00623903" w:rsidP="00623903">
      <w:pPr>
        <w:ind w:left="708"/>
        <w:jc w:val="both"/>
      </w:pPr>
      <w:r w:rsidRPr="006F0CC2">
        <w:rPr>
          <w:rFonts w:eastAsia="Batang"/>
          <w:szCs w:val="24"/>
        </w:rPr>
        <w:t xml:space="preserve">En virtud de lo establecido en la consulta de fecha 27 de febrero de 2017 del ICAC en relación con el tratamiento contable de las modificaciones en el régimen fiscal de las perdidas por </w:t>
      </w:r>
      <w:r w:rsidRPr="006F0CC2">
        <w:t>deterioro de los valores representativos de la participación en el capital de las entidades, aprobadas por el RDL 3/2016, de 2 de diciembre</w:t>
      </w:r>
      <w:r w:rsidRPr="003F77FC">
        <w:t xml:space="preserve">, </w:t>
      </w:r>
      <w:r w:rsidR="00A43829" w:rsidRPr="003F77FC">
        <w:t xml:space="preserve">la sociedad </w:t>
      </w:r>
      <w:r w:rsidRPr="003F77FC">
        <w:t xml:space="preserve">no se </w:t>
      </w:r>
      <w:r w:rsidR="00A43829" w:rsidRPr="003F77FC">
        <w:t>reconoció</w:t>
      </w:r>
      <w:r w:rsidRPr="006F0CC2">
        <w:t xml:space="preserve"> un pasivo por el importe del deterioro de valor dotado antes del 1 de enero de 2013, pendiente de integrar en la base imponible de los próximos ejercicios. En definitiva, se consider</w:t>
      </w:r>
      <w:r w:rsidR="00D24EC1">
        <w:t>ó</w:t>
      </w:r>
      <w:r w:rsidRPr="006F0CC2">
        <w:t xml:space="preserve"> al menos la quinta parte del deterioro fiscal a revertir como un ajuste positivo en la base imponible del citado periodo impositivo, circunstancia que tiene su correspondiente efecto en la </w:t>
      </w:r>
      <w:r w:rsidRPr="00A43829">
        <w:t xml:space="preserve">imposición corriente, como ya se ha explicado. </w:t>
      </w:r>
    </w:p>
    <w:p w14:paraId="268C577F" w14:textId="2CEED6C8" w:rsidR="007F3818" w:rsidRDefault="00623903" w:rsidP="007F3818">
      <w:pPr>
        <w:ind w:left="708"/>
        <w:jc w:val="both"/>
      </w:pPr>
      <w:r w:rsidRPr="00A43829">
        <w:t>Tras la realización del ajuste positivo en el ejercicio 2019, a fecha de cierre del ejercicio 2019, las pérdidas por deterioro pendientes de revertir ascendían a 15,2 millones de euros</w:t>
      </w:r>
      <w:r w:rsidR="00D24EC1">
        <w:t>, que se han integrado en su totalidad en el ejercicio 2020.</w:t>
      </w:r>
    </w:p>
    <w:p w14:paraId="109986F9" w14:textId="7105758E" w:rsidR="00623903" w:rsidRDefault="00623903" w:rsidP="007F3818">
      <w:pPr>
        <w:ind w:left="708"/>
        <w:jc w:val="both"/>
      </w:pPr>
      <w:r w:rsidRPr="00581017">
        <w:lastRenderedPageBreak/>
        <w:t>Desglose del gasto / ingreso por impuesto sobre beneficios en el ejercicio 2020 y 2019:</w:t>
      </w:r>
    </w:p>
    <w:p w14:paraId="6CDBAC63" w14:textId="77777777" w:rsidR="00623903" w:rsidRDefault="00623903" w:rsidP="00623903">
      <w:pPr>
        <w:ind w:left="708"/>
        <w:jc w:val="both"/>
      </w:pPr>
    </w:p>
    <w:tbl>
      <w:tblPr>
        <w:tblW w:w="7513" w:type="dxa"/>
        <w:tblInd w:w="704" w:type="dxa"/>
        <w:tblLayout w:type="fixed"/>
        <w:tblCellMar>
          <w:left w:w="70" w:type="dxa"/>
          <w:right w:w="70" w:type="dxa"/>
        </w:tblCellMar>
        <w:tblLook w:val="0000" w:firstRow="0" w:lastRow="0" w:firstColumn="0" w:lastColumn="0" w:noHBand="0" w:noVBand="0"/>
      </w:tblPr>
      <w:tblGrid>
        <w:gridCol w:w="3969"/>
        <w:gridCol w:w="1701"/>
        <w:gridCol w:w="1843"/>
      </w:tblGrid>
      <w:tr w:rsidR="00D24EC1" w:rsidRPr="00581017" w14:paraId="16B485C4" w14:textId="77777777" w:rsidTr="00D24EC1">
        <w:trPr>
          <w:trHeight w:val="300"/>
        </w:trPr>
        <w:tc>
          <w:tcPr>
            <w:tcW w:w="3969" w:type="dxa"/>
            <w:tcBorders>
              <w:bottom w:val="single" w:sz="4" w:space="0" w:color="auto"/>
              <w:right w:val="single" w:sz="4" w:space="0" w:color="auto"/>
            </w:tcBorders>
            <w:shd w:val="clear" w:color="auto" w:fill="auto"/>
            <w:noWrap/>
            <w:vAlign w:val="center"/>
          </w:tcPr>
          <w:p w14:paraId="54C811A9" w14:textId="77777777" w:rsidR="00D24EC1" w:rsidRPr="00D24EC1" w:rsidRDefault="00D24EC1" w:rsidP="00C05B9D">
            <w:pPr>
              <w:spacing w:after="0" w:line="240" w:lineRule="auto"/>
              <w:rPr>
                <w:rFonts w:eastAsia="Times New Roman" w:cs="Times New Roman"/>
                <w:b/>
                <w:sz w:val="22"/>
                <w:lang w:eastAsia="es-ES"/>
              </w:rPr>
            </w:pPr>
          </w:p>
        </w:tc>
        <w:tc>
          <w:tcPr>
            <w:tcW w:w="3544" w:type="dxa"/>
            <w:gridSpan w:val="2"/>
            <w:tcBorders>
              <w:top w:val="single" w:sz="4" w:space="0" w:color="auto"/>
              <w:left w:val="nil"/>
              <w:bottom w:val="single" w:sz="4" w:space="0" w:color="auto"/>
              <w:right w:val="single" w:sz="4" w:space="0" w:color="auto"/>
            </w:tcBorders>
            <w:vAlign w:val="center"/>
          </w:tcPr>
          <w:p w14:paraId="174A4136" w14:textId="3D0BB4A8" w:rsidR="00D24EC1" w:rsidRPr="00D24EC1" w:rsidRDefault="00D24EC1" w:rsidP="00C05B9D">
            <w:pPr>
              <w:spacing w:after="0" w:line="240" w:lineRule="auto"/>
              <w:jc w:val="center"/>
              <w:rPr>
                <w:rFonts w:eastAsia="Times New Roman" w:cs="Times New Roman"/>
                <w:sz w:val="22"/>
                <w:lang w:eastAsia="es-ES"/>
              </w:rPr>
            </w:pPr>
            <w:r w:rsidRPr="00D24EC1">
              <w:rPr>
                <w:rFonts w:eastAsia="Times New Roman" w:cs="Times New Roman"/>
                <w:sz w:val="22"/>
                <w:lang w:eastAsia="es-ES"/>
              </w:rPr>
              <w:t>Euros</w:t>
            </w:r>
          </w:p>
        </w:tc>
      </w:tr>
      <w:tr w:rsidR="00623903" w:rsidRPr="00581017" w14:paraId="17297A84" w14:textId="77777777" w:rsidTr="00D24EC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3911" w14:textId="77777777" w:rsidR="00623903" w:rsidRPr="00D24EC1" w:rsidRDefault="00623903" w:rsidP="00C05B9D">
            <w:pPr>
              <w:spacing w:after="0" w:line="240" w:lineRule="auto"/>
              <w:rPr>
                <w:rFonts w:eastAsia="Times New Roman" w:cs="Times New Roman"/>
                <w:b/>
                <w:sz w:val="22"/>
                <w:lang w:eastAsia="es-ES"/>
              </w:rPr>
            </w:pPr>
          </w:p>
        </w:tc>
        <w:tc>
          <w:tcPr>
            <w:tcW w:w="1701" w:type="dxa"/>
            <w:tcBorders>
              <w:top w:val="single" w:sz="4" w:space="0" w:color="auto"/>
              <w:left w:val="nil"/>
              <w:bottom w:val="single" w:sz="4" w:space="0" w:color="auto"/>
              <w:right w:val="single" w:sz="4" w:space="0" w:color="auto"/>
            </w:tcBorders>
            <w:vAlign w:val="center"/>
          </w:tcPr>
          <w:p w14:paraId="0CA7189F" w14:textId="77777777" w:rsidR="00623903" w:rsidRPr="00D24EC1" w:rsidRDefault="00623903" w:rsidP="00C05B9D">
            <w:pPr>
              <w:spacing w:after="0" w:line="240" w:lineRule="auto"/>
              <w:jc w:val="center"/>
              <w:rPr>
                <w:rFonts w:eastAsia="Times New Roman" w:cs="Times New Roman"/>
                <w:b/>
                <w:bCs/>
                <w:sz w:val="22"/>
                <w:lang w:eastAsia="es-ES"/>
              </w:rPr>
            </w:pPr>
            <w:r w:rsidRPr="00D24EC1">
              <w:rPr>
                <w:rFonts w:eastAsia="Times New Roman" w:cs="Times New Roman"/>
                <w:b/>
                <w:bCs/>
                <w:sz w:val="22"/>
                <w:lang w:eastAsia="es-ES"/>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683E44" w14:textId="77777777" w:rsidR="00623903" w:rsidRPr="00D24EC1" w:rsidRDefault="00623903" w:rsidP="00C05B9D">
            <w:pPr>
              <w:spacing w:after="0" w:line="240" w:lineRule="auto"/>
              <w:jc w:val="center"/>
              <w:rPr>
                <w:rFonts w:eastAsia="Times New Roman" w:cs="Times New Roman"/>
                <w:b/>
                <w:bCs/>
                <w:sz w:val="22"/>
                <w:lang w:eastAsia="es-ES"/>
              </w:rPr>
            </w:pPr>
            <w:r w:rsidRPr="00D24EC1">
              <w:rPr>
                <w:rFonts w:eastAsia="Times New Roman" w:cs="Times New Roman"/>
                <w:b/>
                <w:bCs/>
                <w:sz w:val="22"/>
                <w:lang w:eastAsia="es-ES"/>
              </w:rPr>
              <w:t>2019</w:t>
            </w:r>
          </w:p>
        </w:tc>
      </w:tr>
      <w:tr w:rsidR="00623903" w:rsidRPr="00581017" w14:paraId="23CC64EA" w14:textId="77777777" w:rsidTr="00D24EC1">
        <w:trPr>
          <w:trHeight w:val="323"/>
        </w:trPr>
        <w:tc>
          <w:tcPr>
            <w:tcW w:w="3969" w:type="dxa"/>
            <w:tcBorders>
              <w:top w:val="nil"/>
              <w:left w:val="single" w:sz="4" w:space="0" w:color="auto"/>
              <w:bottom w:val="nil"/>
              <w:right w:val="single" w:sz="4" w:space="0" w:color="auto"/>
            </w:tcBorders>
            <w:shd w:val="clear" w:color="auto" w:fill="auto"/>
            <w:vAlign w:val="center"/>
          </w:tcPr>
          <w:p w14:paraId="2D4DDC31" w14:textId="77777777" w:rsidR="00623903" w:rsidRPr="00D24EC1" w:rsidRDefault="00623903" w:rsidP="00C05B9D">
            <w:pPr>
              <w:spacing w:after="0" w:line="240" w:lineRule="auto"/>
              <w:rPr>
                <w:rFonts w:eastAsia="Times New Roman" w:cs="Times New Roman"/>
                <w:sz w:val="22"/>
                <w:lang w:eastAsia="es-ES"/>
              </w:rPr>
            </w:pPr>
            <w:r w:rsidRPr="00D24EC1">
              <w:rPr>
                <w:rFonts w:eastAsia="Times New Roman" w:cs="Times New Roman"/>
                <w:sz w:val="22"/>
                <w:lang w:eastAsia="es-ES"/>
              </w:rPr>
              <w:t>Impuesto corriente</w:t>
            </w:r>
          </w:p>
        </w:tc>
        <w:tc>
          <w:tcPr>
            <w:tcW w:w="1701" w:type="dxa"/>
            <w:tcBorders>
              <w:top w:val="nil"/>
              <w:left w:val="nil"/>
              <w:bottom w:val="nil"/>
              <w:right w:val="single" w:sz="4" w:space="0" w:color="auto"/>
            </w:tcBorders>
            <w:vAlign w:val="center"/>
          </w:tcPr>
          <w:p w14:paraId="1F0518A9" w14:textId="77777777" w:rsidR="00623903" w:rsidRPr="00D24EC1" w:rsidRDefault="00623903" w:rsidP="00D24EC1">
            <w:pPr>
              <w:spacing w:after="0" w:line="240" w:lineRule="auto"/>
              <w:jc w:val="right"/>
              <w:rPr>
                <w:rFonts w:eastAsia="Times New Roman" w:cs="Times New Roman"/>
                <w:sz w:val="22"/>
                <w:lang w:eastAsia="es-ES"/>
              </w:rPr>
            </w:pPr>
            <w:r w:rsidRPr="00D24EC1">
              <w:rPr>
                <w:rFonts w:eastAsia="Times New Roman" w:cs="Times New Roman"/>
                <w:sz w:val="22"/>
                <w:lang w:eastAsia="es-ES"/>
              </w:rPr>
              <w:t>2.872.224,76</w:t>
            </w:r>
          </w:p>
        </w:tc>
        <w:tc>
          <w:tcPr>
            <w:tcW w:w="1843" w:type="dxa"/>
            <w:tcBorders>
              <w:top w:val="nil"/>
              <w:left w:val="single" w:sz="4" w:space="0" w:color="auto"/>
              <w:bottom w:val="nil"/>
              <w:right w:val="single" w:sz="4" w:space="0" w:color="auto"/>
            </w:tcBorders>
            <w:shd w:val="clear" w:color="auto" w:fill="auto"/>
            <w:noWrap/>
          </w:tcPr>
          <w:p w14:paraId="218FC6DA" w14:textId="77777777" w:rsidR="00623903" w:rsidRPr="00D24EC1" w:rsidRDefault="00623903" w:rsidP="00D24EC1">
            <w:pPr>
              <w:spacing w:after="0" w:line="240" w:lineRule="auto"/>
              <w:jc w:val="right"/>
              <w:rPr>
                <w:rFonts w:eastAsia="Times New Roman" w:cs="Times New Roman"/>
                <w:sz w:val="22"/>
                <w:lang w:eastAsia="es-ES"/>
              </w:rPr>
            </w:pPr>
            <w:r w:rsidRPr="00D24EC1">
              <w:rPr>
                <w:rFonts w:eastAsia="Times New Roman" w:cs="Times New Roman"/>
                <w:sz w:val="22"/>
                <w:lang w:eastAsia="es-ES"/>
              </w:rPr>
              <w:t>2.984.067,76</w:t>
            </w:r>
          </w:p>
        </w:tc>
      </w:tr>
      <w:tr w:rsidR="00623903" w:rsidRPr="00581017" w14:paraId="78BC92CB" w14:textId="77777777" w:rsidTr="00D24EC1">
        <w:trPr>
          <w:trHeight w:val="300"/>
        </w:trPr>
        <w:tc>
          <w:tcPr>
            <w:tcW w:w="3969" w:type="dxa"/>
            <w:tcBorders>
              <w:top w:val="nil"/>
              <w:left w:val="single" w:sz="4" w:space="0" w:color="auto"/>
              <w:bottom w:val="nil"/>
              <w:right w:val="single" w:sz="4" w:space="0" w:color="auto"/>
            </w:tcBorders>
            <w:shd w:val="clear" w:color="auto" w:fill="auto"/>
            <w:noWrap/>
            <w:vAlign w:val="center"/>
          </w:tcPr>
          <w:p w14:paraId="73481A51" w14:textId="77777777" w:rsidR="00623903" w:rsidRPr="00D24EC1" w:rsidRDefault="00623903" w:rsidP="00C05B9D">
            <w:pPr>
              <w:spacing w:after="0" w:line="240" w:lineRule="auto"/>
              <w:rPr>
                <w:rFonts w:eastAsia="Times New Roman" w:cs="Times New Roman"/>
                <w:sz w:val="22"/>
                <w:lang w:eastAsia="es-ES"/>
              </w:rPr>
            </w:pPr>
            <w:r w:rsidRPr="00D24EC1">
              <w:rPr>
                <w:rFonts w:eastAsia="Times New Roman" w:cs="Times New Roman"/>
                <w:sz w:val="22"/>
                <w:lang w:eastAsia="es-ES"/>
              </w:rPr>
              <w:t>Recompra crédito fiscal</w:t>
            </w:r>
          </w:p>
        </w:tc>
        <w:tc>
          <w:tcPr>
            <w:tcW w:w="1701" w:type="dxa"/>
            <w:tcBorders>
              <w:top w:val="nil"/>
              <w:left w:val="nil"/>
              <w:bottom w:val="nil"/>
              <w:right w:val="single" w:sz="4" w:space="0" w:color="auto"/>
            </w:tcBorders>
            <w:vAlign w:val="center"/>
          </w:tcPr>
          <w:p w14:paraId="30268B8D" w14:textId="77777777" w:rsidR="00623903" w:rsidRPr="00D24EC1" w:rsidRDefault="00623903" w:rsidP="00D24EC1">
            <w:pPr>
              <w:spacing w:after="0" w:line="240" w:lineRule="auto"/>
              <w:jc w:val="right"/>
              <w:rPr>
                <w:rFonts w:eastAsia="Times New Roman" w:cs="Times New Roman"/>
                <w:sz w:val="22"/>
                <w:lang w:eastAsia="es-ES"/>
              </w:rPr>
            </w:pPr>
            <w:r w:rsidRPr="00D24EC1">
              <w:rPr>
                <w:rFonts w:eastAsia="Times New Roman" w:cs="Times New Roman"/>
                <w:sz w:val="22"/>
                <w:lang w:eastAsia="es-ES"/>
              </w:rPr>
              <w:t>1.072.297,24</w:t>
            </w:r>
          </w:p>
        </w:tc>
        <w:tc>
          <w:tcPr>
            <w:tcW w:w="1843" w:type="dxa"/>
            <w:tcBorders>
              <w:top w:val="nil"/>
              <w:left w:val="single" w:sz="4" w:space="0" w:color="auto"/>
              <w:bottom w:val="nil"/>
              <w:right w:val="single" w:sz="4" w:space="0" w:color="auto"/>
            </w:tcBorders>
            <w:shd w:val="clear" w:color="auto" w:fill="auto"/>
            <w:noWrap/>
          </w:tcPr>
          <w:p w14:paraId="51C474AB" w14:textId="77777777" w:rsidR="00623903" w:rsidRPr="00D24EC1" w:rsidRDefault="00623903" w:rsidP="00D24EC1">
            <w:pPr>
              <w:spacing w:after="0" w:line="240" w:lineRule="auto"/>
              <w:jc w:val="right"/>
              <w:rPr>
                <w:rFonts w:eastAsia="Times New Roman" w:cs="Times New Roman"/>
                <w:sz w:val="22"/>
                <w:lang w:eastAsia="es-ES"/>
              </w:rPr>
            </w:pPr>
            <w:r w:rsidRPr="00D24EC1">
              <w:rPr>
                <w:rFonts w:eastAsia="Times New Roman" w:cs="Times New Roman"/>
                <w:sz w:val="22"/>
                <w:lang w:eastAsia="es-ES"/>
              </w:rPr>
              <w:t>1.243.305,67</w:t>
            </w:r>
          </w:p>
        </w:tc>
      </w:tr>
      <w:tr w:rsidR="00623903" w:rsidRPr="00A37591" w14:paraId="724B2E50" w14:textId="77777777" w:rsidTr="00D24EC1">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86B4E" w14:textId="77777777" w:rsidR="00623903" w:rsidRPr="00D24EC1" w:rsidRDefault="00623903" w:rsidP="00C05B9D">
            <w:pPr>
              <w:spacing w:after="0" w:line="240" w:lineRule="auto"/>
              <w:rPr>
                <w:rFonts w:eastAsia="Times New Roman" w:cs="Times New Roman"/>
                <w:b/>
                <w:bCs/>
                <w:sz w:val="22"/>
                <w:lang w:eastAsia="es-ES"/>
              </w:rPr>
            </w:pPr>
            <w:r w:rsidRPr="00D24EC1">
              <w:rPr>
                <w:rFonts w:eastAsia="Times New Roman" w:cs="Times New Roman"/>
                <w:b/>
                <w:bCs/>
                <w:sz w:val="22"/>
                <w:lang w:eastAsia="es-ES"/>
              </w:rPr>
              <w:t>Total</w:t>
            </w:r>
          </w:p>
        </w:tc>
        <w:tc>
          <w:tcPr>
            <w:tcW w:w="1701" w:type="dxa"/>
            <w:tcBorders>
              <w:top w:val="single" w:sz="4" w:space="0" w:color="auto"/>
              <w:left w:val="nil"/>
              <w:bottom w:val="single" w:sz="4" w:space="0" w:color="auto"/>
              <w:right w:val="single" w:sz="4" w:space="0" w:color="auto"/>
            </w:tcBorders>
            <w:vAlign w:val="center"/>
          </w:tcPr>
          <w:p w14:paraId="5C198F63" w14:textId="77777777" w:rsidR="00623903" w:rsidRPr="00D24EC1" w:rsidRDefault="00623903" w:rsidP="00D24EC1">
            <w:pPr>
              <w:spacing w:after="0" w:line="240" w:lineRule="auto"/>
              <w:jc w:val="right"/>
              <w:rPr>
                <w:rFonts w:eastAsia="Times New Roman" w:cs="Times New Roman"/>
                <w:b/>
                <w:bCs/>
                <w:sz w:val="22"/>
                <w:lang w:eastAsia="es-ES"/>
              </w:rPr>
            </w:pPr>
            <w:r w:rsidRPr="00D24EC1">
              <w:rPr>
                <w:rFonts w:eastAsia="Times New Roman" w:cs="Times New Roman"/>
                <w:b/>
                <w:bCs/>
                <w:sz w:val="22"/>
                <w:lang w:eastAsia="es-ES"/>
              </w:rPr>
              <w:t>3.944.522,00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9EB323" w14:textId="77777777" w:rsidR="00623903" w:rsidRPr="00D24EC1" w:rsidRDefault="00623903" w:rsidP="00D24EC1">
            <w:pPr>
              <w:spacing w:after="0" w:line="240" w:lineRule="auto"/>
              <w:jc w:val="right"/>
              <w:rPr>
                <w:rFonts w:eastAsia="Times New Roman" w:cs="Times New Roman"/>
                <w:b/>
                <w:bCs/>
                <w:sz w:val="22"/>
                <w:lang w:eastAsia="es-ES"/>
              </w:rPr>
            </w:pPr>
            <w:r w:rsidRPr="00D24EC1">
              <w:rPr>
                <w:rFonts w:eastAsia="Times New Roman" w:cs="Times New Roman"/>
                <w:b/>
                <w:bCs/>
                <w:sz w:val="22"/>
                <w:lang w:eastAsia="es-ES"/>
              </w:rPr>
              <w:t>4.227.373,43</w:t>
            </w:r>
          </w:p>
        </w:tc>
      </w:tr>
    </w:tbl>
    <w:p w14:paraId="363DA5E7" w14:textId="77777777" w:rsidR="00623903" w:rsidRDefault="00623903" w:rsidP="00623903">
      <w:pPr>
        <w:rPr>
          <w:rFonts w:eastAsia="Batang"/>
          <w:szCs w:val="24"/>
        </w:rPr>
      </w:pPr>
    </w:p>
    <w:p w14:paraId="76126130" w14:textId="77777777" w:rsidR="00623903" w:rsidRPr="00921990" w:rsidRDefault="00623903" w:rsidP="00766C97">
      <w:pPr>
        <w:pStyle w:val="Prrafodelista"/>
        <w:numPr>
          <w:ilvl w:val="1"/>
          <w:numId w:val="27"/>
        </w:numPr>
        <w:tabs>
          <w:tab w:val="left" w:pos="1276"/>
        </w:tabs>
        <w:overflowPunct w:val="0"/>
        <w:autoSpaceDE w:val="0"/>
        <w:autoSpaceDN w:val="0"/>
        <w:adjustRightInd w:val="0"/>
        <w:spacing w:after="0" w:line="240" w:lineRule="auto"/>
        <w:ind w:right="-1"/>
        <w:jc w:val="both"/>
        <w:textAlignment w:val="baseline"/>
        <w:outlineLvl w:val="0"/>
        <w:rPr>
          <w:rFonts w:eastAsia="Batang" w:cs="Times New Roman"/>
          <w:b/>
          <w:i/>
          <w:iCs/>
          <w:szCs w:val="24"/>
          <w:u w:val="single"/>
          <w:lang w:val="es-ES_tradnl" w:eastAsia="es-ES"/>
        </w:rPr>
      </w:pPr>
      <w:r>
        <w:rPr>
          <w:rFonts w:eastAsia="Batang" w:cs="Times New Roman"/>
          <w:b/>
          <w:i/>
          <w:szCs w:val="24"/>
          <w:lang w:val="es-ES_tradnl" w:eastAsia="es-ES"/>
        </w:rPr>
        <w:t xml:space="preserve"> </w:t>
      </w:r>
      <w:r w:rsidRPr="00921990">
        <w:rPr>
          <w:rFonts w:eastAsia="Batang" w:cs="Times New Roman"/>
          <w:b/>
          <w:i/>
          <w:szCs w:val="24"/>
          <w:lang w:val="es-ES_tradnl" w:eastAsia="es-ES"/>
        </w:rPr>
        <w:t>Bases imponibles negativas</w:t>
      </w:r>
    </w:p>
    <w:p w14:paraId="3A275936" w14:textId="77777777" w:rsidR="00623903" w:rsidRPr="007A1865" w:rsidRDefault="00623903" w:rsidP="00623903">
      <w:pPr>
        <w:pStyle w:val="not"/>
        <w:spacing w:before="0"/>
        <w:ind w:left="567" w:firstLine="0"/>
        <w:rPr>
          <w:rFonts w:ascii="Cambria" w:eastAsia="Batang" w:hAnsi="Cambria"/>
          <w:sz w:val="24"/>
          <w:szCs w:val="24"/>
        </w:rPr>
      </w:pPr>
    </w:p>
    <w:p w14:paraId="12964051" w14:textId="77777777" w:rsidR="00623903" w:rsidRPr="008E31CE" w:rsidRDefault="00623903" w:rsidP="00623903">
      <w:pPr>
        <w:ind w:left="426"/>
        <w:jc w:val="both"/>
      </w:pPr>
      <w:r w:rsidRPr="008E31CE">
        <w:t>De acuerdo con la normativa fiscal vigente, aprobada mediante Ley 27/2014, de 27 de noviembre, del Impuesto sobre Sociedades, a partir del ejercicio 2015 las bases imponibles negativas pueden compensarse con los resultados fiscales positivos de los periodos impositivos siguientes sin límite temporal.</w:t>
      </w:r>
    </w:p>
    <w:p w14:paraId="292E12C8" w14:textId="77777777" w:rsidR="00623903" w:rsidRPr="008E31CE" w:rsidRDefault="00623903" w:rsidP="00623903">
      <w:pPr>
        <w:ind w:left="426"/>
        <w:jc w:val="both"/>
      </w:pPr>
      <w:r w:rsidRPr="008E31CE">
        <w:t>Para el ejercicio 2020 y, en virtud del artículo 3 del Real Decreto-Ley 3/2016, de 2 de diciembre, por el que se adoptan medidas en el ámbito tributario dirigida a la consolidación de las finanzas públicas y en otras medidas urgentes en materia social, se modifica la Ley 27/2014, de 27 de noviembre, del Impuesto sobre Sociedades, en cuanto a los límites para poder compensar bases imponibles negativas, de manera que dicho límite queda fijado en el 25% de la base imponible previa, al verse rebasados los limites relativos al volumen de operaciones e importe neto de la cifra de negocios por el Grupo Consolidad</w:t>
      </w:r>
      <w:r>
        <w:t>o</w:t>
      </w:r>
      <w:r w:rsidRPr="008E31CE">
        <w:t xml:space="preserve"> Fiscal SEPI.</w:t>
      </w:r>
    </w:p>
    <w:p w14:paraId="679354B3" w14:textId="77777777" w:rsidR="00623903" w:rsidRDefault="00623903" w:rsidP="00623903">
      <w:pPr>
        <w:ind w:left="426"/>
        <w:jc w:val="both"/>
      </w:pPr>
      <w:r w:rsidRPr="008E31CE">
        <w:t>Conforme a las declaraciones del Impuesto sobre Sociedades, la Sociedad dispone de las siguientes bases imponibles negativas a compensar contra eventuales beneficios fiscales futuros:</w:t>
      </w:r>
    </w:p>
    <w:p w14:paraId="623F6CD6" w14:textId="77777777" w:rsidR="006449F0" w:rsidRPr="00B80209" w:rsidRDefault="006449F0" w:rsidP="00623903">
      <w:pPr>
        <w:pStyle w:val="not"/>
        <w:spacing w:before="0"/>
        <w:ind w:left="567" w:firstLine="0"/>
        <w:rPr>
          <w:rFonts w:ascii="Cambria" w:eastAsia="Batang" w:hAnsi="Cambria"/>
          <w:sz w:val="24"/>
          <w:szCs w:val="24"/>
        </w:rPr>
      </w:pPr>
    </w:p>
    <w:tbl>
      <w:tblPr>
        <w:tblStyle w:val="Tablaconcuadrcula"/>
        <w:tblW w:w="0" w:type="auto"/>
        <w:tblInd w:w="534" w:type="dxa"/>
        <w:tblLook w:val="04A0" w:firstRow="1" w:lastRow="0" w:firstColumn="1" w:lastColumn="0" w:noHBand="0" w:noVBand="1"/>
      </w:tblPr>
      <w:tblGrid>
        <w:gridCol w:w="1576"/>
        <w:gridCol w:w="2127"/>
        <w:gridCol w:w="2130"/>
        <w:gridCol w:w="2127"/>
      </w:tblGrid>
      <w:tr w:rsidR="00D24EC1" w:rsidRPr="008E31CE" w14:paraId="39302357" w14:textId="77777777" w:rsidTr="00C05B9D">
        <w:tc>
          <w:tcPr>
            <w:tcW w:w="7960" w:type="dxa"/>
            <w:gridSpan w:val="4"/>
          </w:tcPr>
          <w:p w14:paraId="1646E79D" w14:textId="2BD1955A" w:rsidR="00D24EC1" w:rsidRPr="008E31CE" w:rsidRDefault="00D24EC1" w:rsidP="00C05B9D">
            <w:pPr>
              <w:jc w:val="center"/>
              <w:rPr>
                <w:sz w:val="22"/>
                <w:szCs w:val="24"/>
              </w:rPr>
            </w:pPr>
            <w:r>
              <w:rPr>
                <w:sz w:val="22"/>
                <w:szCs w:val="24"/>
              </w:rPr>
              <w:t>Euros</w:t>
            </w:r>
          </w:p>
        </w:tc>
      </w:tr>
      <w:tr w:rsidR="00623903" w:rsidRPr="008E31CE" w14:paraId="55FDACFE" w14:textId="77777777" w:rsidTr="00C05B9D">
        <w:tc>
          <w:tcPr>
            <w:tcW w:w="7960" w:type="dxa"/>
            <w:gridSpan w:val="4"/>
          </w:tcPr>
          <w:p w14:paraId="24F7EAF6" w14:textId="77777777" w:rsidR="00623903" w:rsidRPr="008E31CE" w:rsidRDefault="00623903" w:rsidP="00C05B9D">
            <w:pPr>
              <w:jc w:val="center"/>
              <w:rPr>
                <w:rFonts w:ascii="Cambria" w:hAnsi="Cambria"/>
                <w:sz w:val="22"/>
                <w:szCs w:val="24"/>
              </w:rPr>
            </w:pPr>
            <w:r w:rsidRPr="008E31CE">
              <w:rPr>
                <w:rFonts w:ascii="Cambria" w:hAnsi="Cambria"/>
                <w:sz w:val="22"/>
                <w:szCs w:val="24"/>
              </w:rPr>
              <w:t>Bases imponibles negativas</w:t>
            </w:r>
          </w:p>
        </w:tc>
      </w:tr>
      <w:tr w:rsidR="00623903" w:rsidRPr="008E31CE" w14:paraId="72F42B85" w14:textId="77777777" w:rsidTr="00C05B9D">
        <w:tc>
          <w:tcPr>
            <w:tcW w:w="1576" w:type="dxa"/>
            <w:vAlign w:val="center"/>
          </w:tcPr>
          <w:p w14:paraId="7FE26D01" w14:textId="77777777" w:rsidR="00623903" w:rsidRPr="008E31CE" w:rsidRDefault="00623903" w:rsidP="00C05B9D">
            <w:pPr>
              <w:jc w:val="center"/>
              <w:rPr>
                <w:rFonts w:ascii="Cambria" w:hAnsi="Cambria"/>
                <w:sz w:val="22"/>
                <w:szCs w:val="24"/>
              </w:rPr>
            </w:pPr>
            <w:r w:rsidRPr="008E31CE">
              <w:rPr>
                <w:rFonts w:ascii="Cambria" w:hAnsi="Cambria"/>
                <w:sz w:val="22"/>
                <w:szCs w:val="24"/>
              </w:rPr>
              <w:t>Año Origen</w:t>
            </w:r>
          </w:p>
        </w:tc>
        <w:tc>
          <w:tcPr>
            <w:tcW w:w="2127" w:type="dxa"/>
            <w:vAlign w:val="center"/>
          </w:tcPr>
          <w:p w14:paraId="2C7CAC50" w14:textId="77777777" w:rsidR="00623903" w:rsidRPr="008E31CE" w:rsidRDefault="00623903" w:rsidP="00C05B9D">
            <w:pPr>
              <w:jc w:val="center"/>
              <w:rPr>
                <w:rFonts w:ascii="Cambria" w:hAnsi="Cambria"/>
                <w:sz w:val="22"/>
                <w:szCs w:val="24"/>
              </w:rPr>
            </w:pPr>
            <w:r w:rsidRPr="008E31CE">
              <w:rPr>
                <w:rFonts w:ascii="Cambria" w:hAnsi="Cambria"/>
                <w:sz w:val="22"/>
                <w:szCs w:val="24"/>
              </w:rPr>
              <w:t>Pendientes compensar</w:t>
            </w:r>
          </w:p>
          <w:p w14:paraId="45EB30BC" w14:textId="77777777" w:rsidR="00623903" w:rsidRPr="008E31CE" w:rsidRDefault="00623903" w:rsidP="00C05B9D">
            <w:pPr>
              <w:jc w:val="center"/>
              <w:rPr>
                <w:rFonts w:ascii="Cambria" w:hAnsi="Cambria"/>
                <w:sz w:val="22"/>
                <w:szCs w:val="24"/>
              </w:rPr>
            </w:pPr>
            <w:r w:rsidRPr="008E31CE">
              <w:rPr>
                <w:rFonts w:ascii="Cambria" w:hAnsi="Cambria"/>
                <w:sz w:val="22"/>
                <w:szCs w:val="24"/>
              </w:rPr>
              <w:t>31/12/2019</w:t>
            </w:r>
          </w:p>
        </w:tc>
        <w:tc>
          <w:tcPr>
            <w:tcW w:w="2130" w:type="dxa"/>
            <w:vAlign w:val="center"/>
          </w:tcPr>
          <w:p w14:paraId="6AB9748F" w14:textId="77777777" w:rsidR="00623903" w:rsidRPr="008E31CE" w:rsidRDefault="00623903" w:rsidP="00C05B9D">
            <w:pPr>
              <w:jc w:val="center"/>
              <w:rPr>
                <w:rFonts w:ascii="Cambria" w:hAnsi="Cambria"/>
                <w:sz w:val="22"/>
                <w:szCs w:val="24"/>
              </w:rPr>
            </w:pPr>
            <w:r w:rsidRPr="008E31CE">
              <w:rPr>
                <w:rFonts w:ascii="Cambria" w:hAnsi="Cambria"/>
                <w:sz w:val="22"/>
                <w:szCs w:val="24"/>
              </w:rPr>
              <w:t>Compensación</w:t>
            </w:r>
          </w:p>
          <w:p w14:paraId="67B9911A" w14:textId="77777777" w:rsidR="00623903" w:rsidRPr="008E31CE" w:rsidRDefault="00623903" w:rsidP="00C05B9D">
            <w:pPr>
              <w:jc w:val="center"/>
              <w:rPr>
                <w:rFonts w:ascii="Cambria" w:hAnsi="Cambria"/>
                <w:sz w:val="22"/>
                <w:szCs w:val="24"/>
              </w:rPr>
            </w:pPr>
            <w:r w:rsidRPr="008E31CE">
              <w:rPr>
                <w:rFonts w:ascii="Cambria" w:hAnsi="Cambria"/>
                <w:sz w:val="22"/>
                <w:szCs w:val="24"/>
              </w:rPr>
              <w:t>2020</w:t>
            </w:r>
          </w:p>
        </w:tc>
        <w:tc>
          <w:tcPr>
            <w:tcW w:w="2127" w:type="dxa"/>
            <w:vAlign w:val="center"/>
          </w:tcPr>
          <w:p w14:paraId="550075A6" w14:textId="77777777" w:rsidR="00623903" w:rsidRPr="008E31CE" w:rsidRDefault="00623903" w:rsidP="00C05B9D">
            <w:pPr>
              <w:jc w:val="center"/>
              <w:rPr>
                <w:rFonts w:ascii="Cambria" w:hAnsi="Cambria"/>
                <w:sz w:val="22"/>
                <w:szCs w:val="24"/>
              </w:rPr>
            </w:pPr>
            <w:r w:rsidRPr="008E31CE">
              <w:rPr>
                <w:rFonts w:ascii="Cambria" w:hAnsi="Cambria"/>
                <w:sz w:val="22"/>
                <w:szCs w:val="24"/>
              </w:rPr>
              <w:t>Pendientes compensar</w:t>
            </w:r>
          </w:p>
          <w:p w14:paraId="0DAE4E07" w14:textId="77777777" w:rsidR="00623903" w:rsidRPr="008E31CE" w:rsidRDefault="00623903" w:rsidP="00C05B9D">
            <w:pPr>
              <w:jc w:val="center"/>
              <w:rPr>
                <w:rFonts w:ascii="Cambria" w:hAnsi="Cambria"/>
                <w:sz w:val="22"/>
                <w:szCs w:val="24"/>
              </w:rPr>
            </w:pPr>
            <w:r w:rsidRPr="008E31CE">
              <w:rPr>
                <w:rFonts w:ascii="Cambria" w:hAnsi="Cambria"/>
                <w:sz w:val="22"/>
                <w:szCs w:val="24"/>
              </w:rPr>
              <w:t>31/12/2020</w:t>
            </w:r>
          </w:p>
        </w:tc>
      </w:tr>
      <w:tr w:rsidR="00623903" w:rsidRPr="008E31CE" w14:paraId="73D755FB" w14:textId="77777777" w:rsidTr="00C05B9D">
        <w:tc>
          <w:tcPr>
            <w:tcW w:w="1576" w:type="dxa"/>
          </w:tcPr>
          <w:p w14:paraId="1C368A60" w14:textId="77777777" w:rsidR="00623903" w:rsidRPr="008E31CE" w:rsidRDefault="00623903" w:rsidP="00C05B9D">
            <w:pPr>
              <w:jc w:val="center"/>
              <w:rPr>
                <w:rFonts w:ascii="Cambria" w:hAnsi="Cambria"/>
                <w:sz w:val="22"/>
                <w:szCs w:val="24"/>
              </w:rPr>
            </w:pPr>
            <w:r w:rsidRPr="008E31CE">
              <w:rPr>
                <w:rFonts w:ascii="Cambria" w:hAnsi="Cambria"/>
                <w:sz w:val="22"/>
                <w:szCs w:val="24"/>
              </w:rPr>
              <w:t>2007</w:t>
            </w:r>
          </w:p>
        </w:tc>
        <w:tc>
          <w:tcPr>
            <w:tcW w:w="2127" w:type="dxa"/>
          </w:tcPr>
          <w:p w14:paraId="73673E7E" w14:textId="77777777" w:rsidR="00623903" w:rsidRPr="008E31CE" w:rsidRDefault="00623903" w:rsidP="00C05B9D">
            <w:pPr>
              <w:jc w:val="right"/>
              <w:rPr>
                <w:rFonts w:ascii="Cambria" w:hAnsi="Cambria"/>
                <w:sz w:val="22"/>
                <w:szCs w:val="24"/>
              </w:rPr>
            </w:pPr>
            <w:r w:rsidRPr="008E31CE">
              <w:rPr>
                <w:rFonts w:ascii="Cambria" w:hAnsi="Cambria"/>
                <w:sz w:val="22"/>
                <w:szCs w:val="24"/>
              </w:rPr>
              <w:t>6.772.587,28</w:t>
            </w:r>
          </w:p>
        </w:tc>
        <w:tc>
          <w:tcPr>
            <w:tcW w:w="2130" w:type="dxa"/>
          </w:tcPr>
          <w:p w14:paraId="5AD55BC3" w14:textId="77777777" w:rsidR="00623903" w:rsidRPr="008E31CE" w:rsidRDefault="00623903" w:rsidP="00C05B9D">
            <w:pPr>
              <w:jc w:val="right"/>
              <w:rPr>
                <w:rFonts w:ascii="Cambria" w:hAnsi="Cambria"/>
                <w:sz w:val="22"/>
                <w:szCs w:val="24"/>
              </w:rPr>
            </w:pPr>
            <w:r w:rsidRPr="008E31CE">
              <w:rPr>
                <w:rFonts w:ascii="Cambria" w:hAnsi="Cambria"/>
                <w:sz w:val="22"/>
                <w:szCs w:val="24"/>
              </w:rPr>
              <w:t>(3.829.633,01)</w:t>
            </w:r>
          </w:p>
        </w:tc>
        <w:tc>
          <w:tcPr>
            <w:tcW w:w="2127" w:type="dxa"/>
          </w:tcPr>
          <w:p w14:paraId="462E2892" w14:textId="77777777" w:rsidR="00623903" w:rsidRPr="008E31CE" w:rsidRDefault="00623903" w:rsidP="00C05B9D">
            <w:pPr>
              <w:jc w:val="right"/>
              <w:rPr>
                <w:rFonts w:ascii="Cambria" w:hAnsi="Cambria"/>
                <w:sz w:val="22"/>
                <w:szCs w:val="24"/>
              </w:rPr>
            </w:pPr>
            <w:r w:rsidRPr="008E31CE">
              <w:rPr>
                <w:rFonts w:ascii="Cambria" w:hAnsi="Cambria"/>
                <w:sz w:val="22"/>
                <w:szCs w:val="24"/>
              </w:rPr>
              <w:t>2.942.954,27</w:t>
            </w:r>
          </w:p>
        </w:tc>
      </w:tr>
      <w:tr w:rsidR="00623903" w:rsidRPr="008E31CE" w14:paraId="67D910A6" w14:textId="77777777" w:rsidTr="00C05B9D">
        <w:tc>
          <w:tcPr>
            <w:tcW w:w="1576" w:type="dxa"/>
          </w:tcPr>
          <w:p w14:paraId="270A826F" w14:textId="77777777" w:rsidR="00623903" w:rsidRPr="008E31CE" w:rsidRDefault="00623903" w:rsidP="00C05B9D">
            <w:pPr>
              <w:jc w:val="center"/>
              <w:rPr>
                <w:rFonts w:ascii="Cambria" w:hAnsi="Cambria"/>
                <w:sz w:val="22"/>
                <w:szCs w:val="24"/>
              </w:rPr>
            </w:pPr>
            <w:r w:rsidRPr="008E31CE">
              <w:rPr>
                <w:rFonts w:ascii="Cambria" w:hAnsi="Cambria"/>
                <w:sz w:val="22"/>
                <w:szCs w:val="24"/>
              </w:rPr>
              <w:t>2008</w:t>
            </w:r>
          </w:p>
        </w:tc>
        <w:tc>
          <w:tcPr>
            <w:tcW w:w="2127" w:type="dxa"/>
          </w:tcPr>
          <w:p w14:paraId="593AA6BA" w14:textId="77777777" w:rsidR="00623903" w:rsidRPr="008E31CE" w:rsidRDefault="00623903" w:rsidP="00C05B9D">
            <w:pPr>
              <w:jc w:val="right"/>
              <w:rPr>
                <w:rFonts w:ascii="Cambria" w:hAnsi="Cambria"/>
                <w:sz w:val="22"/>
                <w:szCs w:val="24"/>
              </w:rPr>
            </w:pPr>
            <w:r w:rsidRPr="008E31CE">
              <w:rPr>
                <w:rFonts w:ascii="Cambria" w:hAnsi="Cambria"/>
                <w:sz w:val="22"/>
                <w:szCs w:val="24"/>
              </w:rPr>
              <w:t>28.572.717,41</w:t>
            </w:r>
          </w:p>
        </w:tc>
        <w:tc>
          <w:tcPr>
            <w:tcW w:w="2130" w:type="dxa"/>
          </w:tcPr>
          <w:p w14:paraId="3A1B1592" w14:textId="225B79B6" w:rsidR="00623903" w:rsidRPr="008E31CE" w:rsidRDefault="00D24EC1" w:rsidP="00D24EC1">
            <w:pPr>
              <w:jc w:val="center"/>
              <w:rPr>
                <w:rFonts w:ascii="Cambria" w:hAnsi="Cambria"/>
                <w:sz w:val="22"/>
                <w:szCs w:val="24"/>
              </w:rPr>
            </w:pPr>
            <w:r>
              <w:rPr>
                <w:rFonts w:ascii="Cambria" w:hAnsi="Cambria"/>
                <w:sz w:val="22"/>
                <w:szCs w:val="24"/>
              </w:rPr>
              <w:t>-</w:t>
            </w:r>
          </w:p>
        </w:tc>
        <w:tc>
          <w:tcPr>
            <w:tcW w:w="2127" w:type="dxa"/>
          </w:tcPr>
          <w:p w14:paraId="3C176060" w14:textId="77777777" w:rsidR="00623903" w:rsidRPr="008E31CE" w:rsidRDefault="00623903" w:rsidP="00C05B9D">
            <w:pPr>
              <w:jc w:val="right"/>
              <w:rPr>
                <w:rFonts w:ascii="Cambria" w:hAnsi="Cambria"/>
                <w:sz w:val="22"/>
                <w:szCs w:val="24"/>
              </w:rPr>
            </w:pPr>
            <w:r w:rsidRPr="008E31CE">
              <w:rPr>
                <w:rFonts w:ascii="Cambria" w:hAnsi="Cambria"/>
                <w:sz w:val="22"/>
                <w:szCs w:val="24"/>
              </w:rPr>
              <w:t>28.572.717,41</w:t>
            </w:r>
          </w:p>
        </w:tc>
      </w:tr>
      <w:tr w:rsidR="00623903" w:rsidRPr="008E31CE" w14:paraId="6583DA7C" w14:textId="77777777" w:rsidTr="00C05B9D">
        <w:tc>
          <w:tcPr>
            <w:tcW w:w="1576" w:type="dxa"/>
          </w:tcPr>
          <w:p w14:paraId="0D609EFA" w14:textId="77777777" w:rsidR="00623903" w:rsidRPr="008E31CE" w:rsidRDefault="00623903" w:rsidP="00C05B9D">
            <w:pPr>
              <w:jc w:val="center"/>
              <w:rPr>
                <w:rFonts w:ascii="Cambria" w:hAnsi="Cambria"/>
                <w:sz w:val="22"/>
                <w:szCs w:val="24"/>
              </w:rPr>
            </w:pPr>
            <w:r w:rsidRPr="008E31CE">
              <w:rPr>
                <w:rFonts w:ascii="Cambria" w:hAnsi="Cambria"/>
                <w:sz w:val="22"/>
                <w:szCs w:val="24"/>
              </w:rPr>
              <w:t>2014</w:t>
            </w:r>
          </w:p>
        </w:tc>
        <w:tc>
          <w:tcPr>
            <w:tcW w:w="2127" w:type="dxa"/>
          </w:tcPr>
          <w:p w14:paraId="4EBF9B29" w14:textId="77777777" w:rsidR="00623903" w:rsidRPr="008E31CE" w:rsidRDefault="00623903" w:rsidP="00C05B9D">
            <w:pPr>
              <w:jc w:val="right"/>
              <w:rPr>
                <w:rFonts w:ascii="Cambria" w:hAnsi="Cambria"/>
                <w:sz w:val="22"/>
                <w:szCs w:val="24"/>
              </w:rPr>
            </w:pPr>
            <w:r w:rsidRPr="008E31CE">
              <w:rPr>
                <w:rFonts w:ascii="Cambria" w:hAnsi="Cambria"/>
                <w:sz w:val="22"/>
                <w:szCs w:val="24"/>
              </w:rPr>
              <w:t>11.639.804,04</w:t>
            </w:r>
          </w:p>
        </w:tc>
        <w:tc>
          <w:tcPr>
            <w:tcW w:w="2130" w:type="dxa"/>
          </w:tcPr>
          <w:p w14:paraId="27B05288" w14:textId="2A58F0B1" w:rsidR="00623903" w:rsidRPr="008E31CE" w:rsidRDefault="00D24EC1" w:rsidP="00D24EC1">
            <w:pPr>
              <w:jc w:val="center"/>
              <w:rPr>
                <w:rFonts w:ascii="Cambria" w:hAnsi="Cambria"/>
                <w:sz w:val="22"/>
                <w:szCs w:val="24"/>
              </w:rPr>
            </w:pPr>
            <w:r>
              <w:rPr>
                <w:rFonts w:ascii="Cambria" w:hAnsi="Cambria"/>
                <w:sz w:val="22"/>
                <w:szCs w:val="24"/>
              </w:rPr>
              <w:t>-</w:t>
            </w:r>
          </w:p>
        </w:tc>
        <w:tc>
          <w:tcPr>
            <w:tcW w:w="2127" w:type="dxa"/>
          </w:tcPr>
          <w:p w14:paraId="325AEEB1" w14:textId="77777777" w:rsidR="00623903" w:rsidRPr="008E31CE" w:rsidRDefault="00623903" w:rsidP="00C05B9D">
            <w:pPr>
              <w:jc w:val="right"/>
              <w:rPr>
                <w:rFonts w:ascii="Cambria" w:hAnsi="Cambria"/>
                <w:sz w:val="22"/>
                <w:szCs w:val="24"/>
              </w:rPr>
            </w:pPr>
            <w:r w:rsidRPr="008E31CE">
              <w:rPr>
                <w:rFonts w:ascii="Cambria" w:hAnsi="Cambria"/>
                <w:sz w:val="22"/>
                <w:szCs w:val="24"/>
              </w:rPr>
              <w:t>11.639.804,04</w:t>
            </w:r>
          </w:p>
        </w:tc>
      </w:tr>
      <w:tr w:rsidR="00623903" w:rsidRPr="00050F9D" w14:paraId="414ECCE8" w14:textId="77777777" w:rsidTr="00C05B9D">
        <w:tc>
          <w:tcPr>
            <w:tcW w:w="1576" w:type="dxa"/>
          </w:tcPr>
          <w:p w14:paraId="0E61AD41" w14:textId="77777777" w:rsidR="00623903" w:rsidRPr="008E31CE" w:rsidRDefault="00623903" w:rsidP="00C05B9D">
            <w:pPr>
              <w:jc w:val="center"/>
              <w:rPr>
                <w:rFonts w:ascii="Cambria" w:hAnsi="Cambria"/>
                <w:b/>
                <w:sz w:val="22"/>
                <w:szCs w:val="24"/>
              </w:rPr>
            </w:pPr>
            <w:r w:rsidRPr="008E31CE">
              <w:rPr>
                <w:rFonts w:ascii="Cambria" w:hAnsi="Cambria"/>
                <w:b/>
                <w:sz w:val="22"/>
                <w:szCs w:val="24"/>
              </w:rPr>
              <w:t>TOTAL</w:t>
            </w:r>
          </w:p>
        </w:tc>
        <w:tc>
          <w:tcPr>
            <w:tcW w:w="2127" w:type="dxa"/>
          </w:tcPr>
          <w:p w14:paraId="544040CC" w14:textId="77777777" w:rsidR="00623903" w:rsidRPr="008E31CE" w:rsidRDefault="00623903" w:rsidP="00C05B9D">
            <w:pPr>
              <w:jc w:val="right"/>
              <w:rPr>
                <w:rFonts w:ascii="Cambria" w:hAnsi="Cambria"/>
                <w:b/>
                <w:sz w:val="22"/>
                <w:szCs w:val="24"/>
              </w:rPr>
            </w:pPr>
            <w:r w:rsidRPr="008E31CE">
              <w:rPr>
                <w:rFonts w:ascii="Cambria" w:hAnsi="Cambria"/>
                <w:b/>
                <w:sz w:val="22"/>
                <w:szCs w:val="24"/>
              </w:rPr>
              <w:t>46.985.108,73</w:t>
            </w:r>
          </w:p>
        </w:tc>
        <w:tc>
          <w:tcPr>
            <w:tcW w:w="2130" w:type="dxa"/>
          </w:tcPr>
          <w:p w14:paraId="4002B610" w14:textId="77777777" w:rsidR="00623903" w:rsidRPr="008E31CE" w:rsidRDefault="00623903" w:rsidP="00C05B9D">
            <w:pPr>
              <w:jc w:val="right"/>
              <w:rPr>
                <w:rFonts w:ascii="Cambria" w:hAnsi="Cambria"/>
                <w:b/>
                <w:bCs/>
                <w:sz w:val="22"/>
                <w:szCs w:val="24"/>
              </w:rPr>
            </w:pPr>
            <w:r w:rsidRPr="008E31CE">
              <w:rPr>
                <w:rFonts w:ascii="Cambria" w:hAnsi="Cambria"/>
                <w:b/>
                <w:bCs/>
                <w:sz w:val="22"/>
                <w:szCs w:val="24"/>
              </w:rPr>
              <w:t>(3.829.633,01)</w:t>
            </w:r>
          </w:p>
        </w:tc>
        <w:tc>
          <w:tcPr>
            <w:tcW w:w="2127" w:type="dxa"/>
          </w:tcPr>
          <w:p w14:paraId="430F697E" w14:textId="77777777" w:rsidR="00623903" w:rsidRPr="00050F9D" w:rsidRDefault="00623903" w:rsidP="00C05B9D">
            <w:pPr>
              <w:jc w:val="right"/>
              <w:rPr>
                <w:rFonts w:ascii="Cambria" w:hAnsi="Cambria"/>
                <w:b/>
                <w:sz w:val="22"/>
                <w:szCs w:val="24"/>
              </w:rPr>
            </w:pPr>
            <w:r w:rsidRPr="008E31CE">
              <w:rPr>
                <w:rFonts w:ascii="Cambria" w:hAnsi="Cambria"/>
                <w:b/>
                <w:sz w:val="22"/>
                <w:szCs w:val="24"/>
              </w:rPr>
              <w:t>43.155.475,72</w:t>
            </w:r>
          </w:p>
        </w:tc>
      </w:tr>
    </w:tbl>
    <w:p w14:paraId="78FB97D3" w14:textId="1FEBCECE" w:rsidR="00623903" w:rsidRDefault="00623903" w:rsidP="007F3818">
      <w:pPr>
        <w:rPr>
          <w:rFonts w:eastAsia="Batang"/>
        </w:rPr>
      </w:pPr>
    </w:p>
    <w:p w14:paraId="66FC75F5" w14:textId="77777777" w:rsidR="00623903" w:rsidRPr="00014661" w:rsidRDefault="00623903" w:rsidP="00766C97">
      <w:pPr>
        <w:pStyle w:val="Prrafodelista"/>
        <w:numPr>
          <w:ilvl w:val="1"/>
          <w:numId w:val="27"/>
        </w:numPr>
        <w:tabs>
          <w:tab w:val="left" w:pos="1276"/>
        </w:tabs>
        <w:overflowPunct w:val="0"/>
        <w:autoSpaceDE w:val="0"/>
        <w:autoSpaceDN w:val="0"/>
        <w:adjustRightInd w:val="0"/>
        <w:spacing w:after="0" w:line="240" w:lineRule="auto"/>
        <w:ind w:right="-1"/>
        <w:jc w:val="both"/>
        <w:textAlignment w:val="baseline"/>
        <w:outlineLvl w:val="0"/>
        <w:rPr>
          <w:rFonts w:eastAsia="Batang" w:cs="Times New Roman"/>
          <w:b/>
          <w:i/>
          <w:iCs/>
          <w:szCs w:val="24"/>
          <w:u w:val="single"/>
          <w:lang w:val="es-ES_tradnl" w:eastAsia="es-ES"/>
        </w:rPr>
      </w:pPr>
      <w:r w:rsidRPr="00014661">
        <w:rPr>
          <w:rFonts w:eastAsia="Batang" w:cs="Times New Roman"/>
          <w:b/>
          <w:i/>
          <w:szCs w:val="24"/>
          <w:lang w:val="es-ES_tradnl" w:eastAsia="es-ES"/>
        </w:rPr>
        <w:t>Deducciones de la cuota</w:t>
      </w:r>
    </w:p>
    <w:p w14:paraId="7E461F07" w14:textId="77777777" w:rsidR="00623903" w:rsidRPr="00D24EC1" w:rsidRDefault="00623903" w:rsidP="00623903">
      <w:pPr>
        <w:pStyle w:val="tn"/>
        <w:spacing w:before="0"/>
        <w:ind w:right="1025" w:firstLine="0"/>
        <w:jc w:val="left"/>
        <w:outlineLvl w:val="0"/>
        <w:rPr>
          <w:rFonts w:ascii="Cambria" w:eastAsia="Batang" w:hAnsi="Cambria"/>
          <w:b/>
          <w:bCs/>
          <w:iCs/>
          <w:sz w:val="24"/>
          <w:szCs w:val="24"/>
        </w:rPr>
      </w:pPr>
    </w:p>
    <w:p w14:paraId="63214661" w14:textId="77777777" w:rsidR="00623903" w:rsidRDefault="00623903" w:rsidP="00623903">
      <w:pPr>
        <w:ind w:left="426"/>
        <w:jc w:val="both"/>
      </w:pPr>
      <w:r w:rsidRPr="008E31CE">
        <w:t>La Sociedad no ha aplicado en el ejercicio 2020 deducciones por doble imposición correspondiente a los ejercicios 2013 y 2014 ya qu</w:t>
      </w:r>
      <w:r>
        <w:t xml:space="preserve">e a </w:t>
      </w:r>
      <w:r w:rsidRPr="008E31CE">
        <w:t>31 de diciembre de 20</w:t>
      </w:r>
      <w:r>
        <w:t>20 no queda</w:t>
      </w:r>
      <w:r w:rsidRPr="008E31CE">
        <w:t xml:space="preserve"> saldo pendiente de</w:t>
      </w:r>
      <w:r>
        <w:t xml:space="preserve"> aplicar</w:t>
      </w:r>
      <w:r w:rsidRPr="008E31CE">
        <w:t>.</w:t>
      </w:r>
      <w:r>
        <w:t xml:space="preserve"> </w:t>
      </w:r>
    </w:p>
    <w:p w14:paraId="0E95D461" w14:textId="77777777" w:rsidR="00623903" w:rsidRDefault="00623903" w:rsidP="00623903">
      <w:pPr>
        <w:ind w:left="426"/>
        <w:jc w:val="both"/>
      </w:pPr>
    </w:p>
    <w:p w14:paraId="25013840" w14:textId="77777777" w:rsidR="00623903" w:rsidRPr="007614BB" w:rsidRDefault="00623903" w:rsidP="00766C97">
      <w:pPr>
        <w:pStyle w:val="Prrafodelista"/>
        <w:numPr>
          <w:ilvl w:val="1"/>
          <w:numId w:val="27"/>
        </w:numPr>
        <w:tabs>
          <w:tab w:val="left" w:pos="1276"/>
        </w:tabs>
        <w:overflowPunct w:val="0"/>
        <w:autoSpaceDE w:val="0"/>
        <w:autoSpaceDN w:val="0"/>
        <w:adjustRightInd w:val="0"/>
        <w:spacing w:after="0" w:line="240" w:lineRule="auto"/>
        <w:ind w:right="-1"/>
        <w:jc w:val="both"/>
        <w:textAlignment w:val="baseline"/>
        <w:outlineLvl w:val="0"/>
        <w:rPr>
          <w:rFonts w:eastAsia="Batang" w:cs="Times New Roman"/>
          <w:b/>
          <w:i/>
          <w:iCs/>
          <w:szCs w:val="24"/>
          <w:u w:val="single"/>
          <w:lang w:val="es-ES_tradnl" w:eastAsia="es-ES"/>
        </w:rPr>
      </w:pPr>
      <w:r w:rsidRPr="007614BB">
        <w:rPr>
          <w:rFonts w:eastAsia="Batang" w:cs="Times New Roman"/>
          <w:b/>
          <w:i/>
          <w:szCs w:val="24"/>
          <w:lang w:val="es-ES_tradnl" w:eastAsia="es-ES"/>
        </w:rPr>
        <w:t>Impuesto sobre el Valor Añadido</w:t>
      </w:r>
    </w:p>
    <w:p w14:paraId="3AD7ACC4" w14:textId="77777777" w:rsidR="00623903" w:rsidRPr="00D24EC1" w:rsidRDefault="00623903" w:rsidP="00623903">
      <w:pPr>
        <w:pStyle w:val="Prrafodelista"/>
        <w:tabs>
          <w:tab w:val="left" w:pos="1276"/>
        </w:tabs>
        <w:overflowPunct w:val="0"/>
        <w:autoSpaceDE w:val="0"/>
        <w:autoSpaceDN w:val="0"/>
        <w:adjustRightInd w:val="0"/>
        <w:spacing w:after="0" w:line="240" w:lineRule="auto"/>
        <w:ind w:left="786" w:right="-1"/>
        <w:jc w:val="both"/>
        <w:textAlignment w:val="baseline"/>
        <w:outlineLvl w:val="0"/>
        <w:rPr>
          <w:rFonts w:eastAsia="Batang" w:cs="Times New Roman"/>
          <w:b/>
          <w:iCs/>
          <w:szCs w:val="24"/>
          <w:lang w:val="es-ES_tradnl" w:eastAsia="es-ES"/>
        </w:rPr>
      </w:pPr>
    </w:p>
    <w:p w14:paraId="7F0BB9E9" w14:textId="77777777" w:rsidR="00623903" w:rsidRPr="00255554" w:rsidRDefault="00623903" w:rsidP="00623903">
      <w:pPr>
        <w:ind w:left="426"/>
        <w:jc w:val="both"/>
      </w:pPr>
      <w:r w:rsidRPr="00255554">
        <w:t>El 30 de enero de 2020, se procedió a regularizar el Impuesto sobre el Valor Añadido de los ejercicios 2016, 2017, 2018 y los primeros tres trimestres de 2019 debido a un cambio en el criterio de deducibilidad de las cuotas soportadas del Impuesto. Al considerarse que la Sociedad interviene en la gestión de su participada, EBRO FOODS, S.A., se considera una sociedad de naturaleza “holding mixta”, por lo que, podrá deducirse parcialmente las cuotas de IVA soportadas según la regla de prorrata prevista en el artículo 104 de la Ley 37/1992, de 28 de diciembre, del Impuesto sobre el Valor Añadido.</w:t>
      </w:r>
    </w:p>
    <w:p w14:paraId="7FE81042" w14:textId="77777777" w:rsidR="00623903" w:rsidRPr="00255554" w:rsidRDefault="00623903" w:rsidP="00623903">
      <w:pPr>
        <w:ind w:left="426"/>
        <w:jc w:val="both"/>
      </w:pPr>
      <w:r w:rsidRPr="00255554">
        <w:t>El porcentaje de deducción del IVA es el resultado de multiplicar por 100 el resultado de la fracción en cuyo numerador se incluirían, exclusivamente, los ingresos derivados de la asistencia a los consejos de Administración de EBRO FOODS (operaciones sujetas y no exentas del Impuesto), y en el denominador, el importe de dichos ingresos, más la cuantía de los dividendos percibidos. Siendo la prorrata definitiva de los ejercicios anteriores y provisional de ejercicio 2020 el 2%.</w:t>
      </w:r>
    </w:p>
    <w:p w14:paraId="04C4B47C" w14:textId="77777777" w:rsidR="00623903" w:rsidRPr="00255554" w:rsidRDefault="00623903" w:rsidP="00623903">
      <w:pPr>
        <w:ind w:left="426"/>
        <w:jc w:val="both"/>
      </w:pPr>
      <w:r w:rsidRPr="00255554">
        <w:t>Como consecuencia de la presentación de las citadas autoliquidaciones complementarias, a cierre del ejercicio 2019 se registró una provisión por los recargos de extemporaneidad e intereses de demora estimados por importe de 2.321,51 euros.</w:t>
      </w:r>
    </w:p>
    <w:p w14:paraId="094C99F2" w14:textId="77777777" w:rsidR="00623903" w:rsidRDefault="00623903" w:rsidP="00623903">
      <w:pPr>
        <w:ind w:left="426"/>
        <w:jc w:val="both"/>
      </w:pPr>
      <w:r w:rsidRPr="00255554">
        <w:t>Durante el ejercicio 2020, el importe realmente satisfecho</w:t>
      </w:r>
      <w:r>
        <w:t xml:space="preserve"> por los recargos, intereses, y sanciones derivadas de las presentaciones de las autoliquidaciones complementarias mencionadas en el párrafo anterior ha ascendido a </w:t>
      </w:r>
      <w:r w:rsidRPr="00255554">
        <w:t xml:space="preserve">4.704,55 euros, </w:t>
      </w:r>
      <w:r>
        <w:t xml:space="preserve">de los cuales </w:t>
      </w:r>
      <w:r w:rsidRPr="00255554">
        <w:t>1.150,71 euros</w:t>
      </w:r>
      <w:r>
        <w:t xml:space="preserve"> se corresponden con intereses de demora.</w:t>
      </w:r>
    </w:p>
    <w:p w14:paraId="4AE80D83" w14:textId="77777777" w:rsidR="00F90946" w:rsidRPr="008E3E27" w:rsidRDefault="00F90946" w:rsidP="008E3E27">
      <w:pPr>
        <w:spacing w:after="0" w:line="240" w:lineRule="auto"/>
        <w:rPr>
          <w:rFonts w:eastAsia="Batang" w:cs="Times New Roman"/>
          <w:szCs w:val="24"/>
          <w:lang w:eastAsia="es-ES"/>
        </w:rPr>
      </w:pPr>
    </w:p>
    <w:p w14:paraId="5C28A856" w14:textId="77777777" w:rsidR="008E3E27" w:rsidRPr="008E3E27" w:rsidRDefault="008E3E27" w:rsidP="00AE7FF0">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8E3E27">
        <w:rPr>
          <w:rFonts w:eastAsia="Batang" w:cs="Times New Roman"/>
          <w:b/>
          <w:bCs/>
          <w:szCs w:val="24"/>
          <w:u w:val="single"/>
          <w:lang w:val="es-ES_tradnl" w:eastAsia="es-ES"/>
        </w:rPr>
        <w:t>INGRESOS Y GASTOS</w:t>
      </w:r>
    </w:p>
    <w:p w14:paraId="1ECED5DE"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FEF6B54"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 xml:space="preserve">Los ingresos de explotación se generan por asistencia al Consejo de Administración, y por el cobro de dividendos, conforme a los títulos de cartera. </w:t>
      </w:r>
    </w:p>
    <w:p w14:paraId="1EF572DF"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8081" w:type="dxa"/>
        <w:tblInd w:w="562" w:type="dxa"/>
        <w:tblLayout w:type="fixed"/>
        <w:tblCellMar>
          <w:left w:w="70" w:type="dxa"/>
          <w:right w:w="70" w:type="dxa"/>
        </w:tblCellMar>
        <w:tblLook w:val="0000" w:firstRow="0" w:lastRow="0" w:firstColumn="0" w:lastColumn="0" w:noHBand="0" w:noVBand="0"/>
      </w:tblPr>
      <w:tblGrid>
        <w:gridCol w:w="4111"/>
        <w:gridCol w:w="1985"/>
        <w:gridCol w:w="1985"/>
      </w:tblGrid>
      <w:tr w:rsidR="00D24EC1" w:rsidRPr="008E3E27" w14:paraId="1E9391B9" w14:textId="77777777" w:rsidTr="00D24EC1">
        <w:trPr>
          <w:trHeight w:val="300"/>
        </w:trPr>
        <w:tc>
          <w:tcPr>
            <w:tcW w:w="4111" w:type="dxa"/>
            <w:tcBorders>
              <w:bottom w:val="single" w:sz="4" w:space="0" w:color="auto"/>
              <w:right w:val="single" w:sz="4" w:space="0" w:color="auto"/>
            </w:tcBorders>
            <w:shd w:val="clear" w:color="auto" w:fill="auto"/>
            <w:noWrap/>
            <w:vAlign w:val="bottom"/>
          </w:tcPr>
          <w:p w14:paraId="1385CF20" w14:textId="77777777" w:rsidR="00D24EC1" w:rsidRPr="008E3E27" w:rsidRDefault="00D24EC1" w:rsidP="008E3E27">
            <w:pPr>
              <w:spacing w:after="0" w:line="240" w:lineRule="auto"/>
              <w:rPr>
                <w:rFonts w:eastAsia="Times New Roman" w:cs="Times New Roman"/>
                <w:b/>
                <w:szCs w:val="24"/>
                <w:lang w:eastAsia="es-ES"/>
              </w:rPr>
            </w:pPr>
          </w:p>
        </w:tc>
        <w:tc>
          <w:tcPr>
            <w:tcW w:w="3970" w:type="dxa"/>
            <w:gridSpan w:val="2"/>
            <w:tcBorders>
              <w:top w:val="single" w:sz="4" w:space="0" w:color="auto"/>
              <w:left w:val="nil"/>
              <w:bottom w:val="single" w:sz="4" w:space="0" w:color="auto"/>
              <w:right w:val="single" w:sz="4" w:space="0" w:color="auto"/>
            </w:tcBorders>
          </w:tcPr>
          <w:p w14:paraId="1B9AD96B" w14:textId="00572384" w:rsidR="00D24EC1" w:rsidRPr="00D24EC1" w:rsidRDefault="00D24EC1" w:rsidP="008E3E27">
            <w:pPr>
              <w:spacing w:after="0" w:line="240" w:lineRule="auto"/>
              <w:jc w:val="center"/>
              <w:rPr>
                <w:rFonts w:eastAsia="Times New Roman" w:cs="Times New Roman"/>
                <w:szCs w:val="24"/>
                <w:lang w:eastAsia="es-ES"/>
              </w:rPr>
            </w:pPr>
            <w:r w:rsidRPr="00D24EC1">
              <w:rPr>
                <w:rFonts w:eastAsia="Times New Roman" w:cs="Times New Roman"/>
                <w:szCs w:val="24"/>
                <w:lang w:eastAsia="es-ES"/>
              </w:rPr>
              <w:t>Euros</w:t>
            </w:r>
          </w:p>
        </w:tc>
      </w:tr>
      <w:tr w:rsidR="007E23FE" w:rsidRPr="008E3E27" w14:paraId="0382CA1A" w14:textId="77777777" w:rsidTr="009E5580">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4AA81" w14:textId="77777777" w:rsidR="007E23FE" w:rsidRPr="008E3E27" w:rsidRDefault="007E23FE" w:rsidP="008E3E27">
            <w:pPr>
              <w:spacing w:after="0" w:line="240" w:lineRule="auto"/>
              <w:rPr>
                <w:rFonts w:eastAsia="Times New Roman" w:cs="Times New Roman"/>
                <w:b/>
                <w:szCs w:val="24"/>
                <w:lang w:eastAsia="es-ES"/>
              </w:rPr>
            </w:pPr>
            <w:r w:rsidRPr="008E3E27">
              <w:rPr>
                <w:rFonts w:eastAsia="Times New Roman" w:cs="Times New Roman"/>
                <w:b/>
                <w:szCs w:val="24"/>
                <w:lang w:eastAsia="es-ES"/>
              </w:rPr>
              <w:t>Importe neto de la cifra de negocios</w:t>
            </w:r>
          </w:p>
        </w:tc>
        <w:tc>
          <w:tcPr>
            <w:tcW w:w="1985" w:type="dxa"/>
            <w:tcBorders>
              <w:top w:val="single" w:sz="4" w:space="0" w:color="auto"/>
              <w:left w:val="nil"/>
              <w:bottom w:val="single" w:sz="4" w:space="0" w:color="auto"/>
              <w:right w:val="single" w:sz="4" w:space="0" w:color="auto"/>
            </w:tcBorders>
          </w:tcPr>
          <w:p w14:paraId="6A4DFA5E" w14:textId="289A6BD6" w:rsidR="007E23FE" w:rsidRPr="008E40EF" w:rsidRDefault="002C7AF0" w:rsidP="008E3E27">
            <w:pPr>
              <w:spacing w:after="0" w:line="240" w:lineRule="auto"/>
              <w:jc w:val="center"/>
              <w:rPr>
                <w:rFonts w:eastAsia="Times New Roman" w:cs="Times New Roman"/>
                <w:b/>
                <w:bCs/>
                <w:szCs w:val="24"/>
                <w:lang w:eastAsia="es-ES"/>
              </w:rPr>
            </w:pPr>
            <w:r>
              <w:rPr>
                <w:rFonts w:eastAsia="Times New Roman" w:cs="Times New Roman"/>
                <w:b/>
                <w:bCs/>
                <w:szCs w:val="24"/>
                <w:lang w:eastAsia="es-ES"/>
              </w:rPr>
              <w:t>2020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ACA61" w14:textId="032ADE73" w:rsidR="007E23FE" w:rsidRPr="008E40EF" w:rsidRDefault="002C7AF0" w:rsidP="008E3E27">
            <w:pPr>
              <w:spacing w:after="0" w:line="240" w:lineRule="auto"/>
              <w:jc w:val="center"/>
              <w:rPr>
                <w:rFonts w:eastAsia="Times New Roman" w:cs="Times New Roman"/>
                <w:b/>
                <w:bCs/>
                <w:szCs w:val="24"/>
                <w:lang w:eastAsia="es-ES"/>
              </w:rPr>
            </w:pPr>
            <w:r>
              <w:rPr>
                <w:rFonts w:eastAsia="Times New Roman" w:cs="Times New Roman"/>
                <w:b/>
                <w:bCs/>
                <w:szCs w:val="24"/>
                <w:lang w:eastAsia="es-ES"/>
              </w:rPr>
              <w:t>2019</w:t>
            </w:r>
          </w:p>
        </w:tc>
      </w:tr>
      <w:tr w:rsidR="0022690C" w:rsidRPr="008E3E27" w14:paraId="3BD13B70" w14:textId="77777777" w:rsidTr="009E5580">
        <w:trPr>
          <w:trHeight w:val="323"/>
        </w:trPr>
        <w:tc>
          <w:tcPr>
            <w:tcW w:w="4111" w:type="dxa"/>
            <w:tcBorders>
              <w:top w:val="nil"/>
              <w:left w:val="single" w:sz="4" w:space="0" w:color="auto"/>
              <w:bottom w:val="nil"/>
              <w:right w:val="single" w:sz="4" w:space="0" w:color="auto"/>
            </w:tcBorders>
            <w:shd w:val="clear" w:color="auto" w:fill="auto"/>
            <w:vAlign w:val="bottom"/>
          </w:tcPr>
          <w:p w14:paraId="4B8FF946" w14:textId="77777777" w:rsidR="0022690C" w:rsidRPr="008E3E27" w:rsidRDefault="0022690C" w:rsidP="0022690C">
            <w:pPr>
              <w:spacing w:after="0" w:line="240" w:lineRule="auto"/>
              <w:rPr>
                <w:rFonts w:eastAsia="Times New Roman" w:cs="Times New Roman"/>
                <w:szCs w:val="24"/>
                <w:lang w:eastAsia="es-ES"/>
              </w:rPr>
            </w:pPr>
            <w:r w:rsidRPr="008E3E27">
              <w:rPr>
                <w:rFonts w:eastAsia="Times New Roman" w:cs="Times New Roman"/>
                <w:szCs w:val="24"/>
                <w:lang w:eastAsia="es-ES"/>
              </w:rPr>
              <w:t xml:space="preserve">Asistencia al Consejo de Administración </w:t>
            </w:r>
          </w:p>
        </w:tc>
        <w:tc>
          <w:tcPr>
            <w:tcW w:w="1985" w:type="dxa"/>
            <w:tcBorders>
              <w:top w:val="nil"/>
              <w:left w:val="nil"/>
              <w:bottom w:val="nil"/>
              <w:right w:val="single" w:sz="4" w:space="0" w:color="auto"/>
            </w:tcBorders>
          </w:tcPr>
          <w:p w14:paraId="6D5AC440" w14:textId="77777777" w:rsidR="0022690C" w:rsidRPr="00B80209" w:rsidRDefault="0022690C" w:rsidP="0022690C">
            <w:pPr>
              <w:spacing w:after="0" w:line="240" w:lineRule="auto"/>
              <w:jc w:val="right"/>
              <w:rPr>
                <w:rFonts w:eastAsia="Times New Roman" w:cs="Times New Roman"/>
                <w:szCs w:val="24"/>
                <w:lang w:eastAsia="es-ES"/>
              </w:rPr>
            </w:pPr>
          </w:p>
          <w:p w14:paraId="4E27B293" w14:textId="28ABB6C9" w:rsidR="0022690C" w:rsidRPr="00B80209" w:rsidRDefault="002C7AF0" w:rsidP="00C5078E">
            <w:pPr>
              <w:spacing w:after="0" w:line="240" w:lineRule="auto"/>
              <w:jc w:val="right"/>
              <w:rPr>
                <w:rFonts w:eastAsia="Times New Roman" w:cs="Times New Roman"/>
                <w:szCs w:val="24"/>
                <w:lang w:eastAsia="es-ES"/>
              </w:rPr>
            </w:pPr>
            <w:r>
              <w:rPr>
                <w:rFonts w:eastAsia="Times New Roman" w:cs="Times New Roman"/>
                <w:szCs w:val="24"/>
                <w:lang w:eastAsia="es-ES"/>
              </w:rPr>
              <w:t>141.644,59</w:t>
            </w:r>
          </w:p>
        </w:tc>
        <w:tc>
          <w:tcPr>
            <w:tcW w:w="1985" w:type="dxa"/>
            <w:tcBorders>
              <w:top w:val="nil"/>
              <w:left w:val="single" w:sz="4" w:space="0" w:color="auto"/>
              <w:bottom w:val="nil"/>
              <w:right w:val="single" w:sz="4" w:space="0" w:color="auto"/>
            </w:tcBorders>
            <w:shd w:val="clear" w:color="auto" w:fill="auto"/>
            <w:noWrap/>
          </w:tcPr>
          <w:p w14:paraId="63FA9DD2" w14:textId="77777777" w:rsidR="0022690C" w:rsidRDefault="0022690C" w:rsidP="0022690C">
            <w:pPr>
              <w:spacing w:after="0" w:line="240" w:lineRule="auto"/>
              <w:jc w:val="right"/>
              <w:rPr>
                <w:rFonts w:eastAsia="Times New Roman" w:cs="Times New Roman"/>
                <w:szCs w:val="24"/>
                <w:lang w:eastAsia="es-ES"/>
              </w:rPr>
            </w:pPr>
          </w:p>
          <w:p w14:paraId="20857B20" w14:textId="5985AAFA" w:rsidR="0022690C" w:rsidRDefault="002C7AF0" w:rsidP="0022690C">
            <w:pPr>
              <w:spacing w:after="0" w:line="240" w:lineRule="auto"/>
              <w:jc w:val="right"/>
              <w:rPr>
                <w:rFonts w:eastAsia="Times New Roman" w:cs="Times New Roman"/>
                <w:szCs w:val="24"/>
                <w:lang w:eastAsia="es-ES"/>
              </w:rPr>
            </w:pPr>
            <w:r>
              <w:rPr>
                <w:rFonts w:eastAsia="Times New Roman" w:cs="Times New Roman"/>
                <w:szCs w:val="24"/>
                <w:lang w:eastAsia="es-ES"/>
              </w:rPr>
              <w:t>136.652,03</w:t>
            </w:r>
          </w:p>
        </w:tc>
      </w:tr>
      <w:tr w:rsidR="0022690C" w:rsidRPr="008E3E27" w14:paraId="7BBD279A" w14:textId="77777777" w:rsidTr="009E5580">
        <w:trPr>
          <w:trHeight w:val="300"/>
        </w:trPr>
        <w:tc>
          <w:tcPr>
            <w:tcW w:w="4111" w:type="dxa"/>
            <w:tcBorders>
              <w:top w:val="nil"/>
              <w:left w:val="single" w:sz="4" w:space="0" w:color="auto"/>
              <w:bottom w:val="nil"/>
              <w:right w:val="single" w:sz="4" w:space="0" w:color="auto"/>
            </w:tcBorders>
            <w:shd w:val="clear" w:color="auto" w:fill="auto"/>
            <w:noWrap/>
            <w:vAlign w:val="bottom"/>
          </w:tcPr>
          <w:p w14:paraId="64E21618" w14:textId="77777777" w:rsidR="0022690C" w:rsidRPr="008E3E27" w:rsidRDefault="0022690C" w:rsidP="0022690C">
            <w:pPr>
              <w:spacing w:after="0" w:line="240" w:lineRule="auto"/>
              <w:rPr>
                <w:rFonts w:eastAsia="Times New Roman" w:cs="Times New Roman"/>
                <w:szCs w:val="24"/>
                <w:lang w:eastAsia="es-ES"/>
              </w:rPr>
            </w:pPr>
            <w:r w:rsidRPr="008E3E27">
              <w:rPr>
                <w:rFonts w:eastAsia="Times New Roman" w:cs="Times New Roman"/>
                <w:szCs w:val="24"/>
                <w:lang w:eastAsia="es-ES"/>
              </w:rPr>
              <w:t>Total dividendos</w:t>
            </w:r>
          </w:p>
        </w:tc>
        <w:tc>
          <w:tcPr>
            <w:tcW w:w="1985" w:type="dxa"/>
            <w:tcBorders>
              <w:top w:val="nil"/>
              <w:left w:val="nil"/>
              <w:bottom w:val="nil"/>
              <w:right w:val="single" w:sz="4" w:space="0" w:color="auto"/>
            </w:tcBorders>
          </w:tcPr>
          <w:p w14:paraId="507691D3" w14:textId="0B59A741" w:rsidR="0022690C" w:rsidRPr="00B80209" w:rsidRDefault="002C7AF0" w:rsidP="0022690C">
            <w:pPr>
              <w:spacing w:after="0" w:line="240" w:lineRule="auto"/>
              <w:jc w:val="right"/>
              <w:rPr>
                <w:rFonts w:eastAsia="Times New Roman" w:cs="Times New Roman"/>
                <w:szCs w:val="24"/>
                <w:lang w:eastAsia="es-ES"/>
              </w:rPr>
            </w:pPr>
            <w:r>
              <w:rPr>
                <w:rFonts w:eastAsia="Times New Roman" w:cs="Times New Roman"/>
                <w:szCs w:val="24"/>
                <w:lang w:eastAsia="es-ES"/>
              </w:rPr>
              <w:t>40.010.346,</w:t>
            </w:r>
            <w:r w:rsidR="00F86B3E">
              <w:rPr>
                <w:rFonts w:eastAsia="Times New Roman" w:cs="Times New Roman"/>
                <w:szCs w:val="24"/>
                <w:lang w:eastAsia="es-ES"/>
              </w:rPr>
              <w:t>27</w:t>
            </w:r>
          </w:p>
        </w:tc>
        <w:tc>
          <w:tcPr>
            <w:tcW w:w="1985" w:type="dxa"/>
            <w:tcBorders>
              <w:top w:val="nil"/>
              <w:left w:val="single" w:sz="4" w:space="0" w:color="auto"/>
              <w:bottom w:val="nil"/>
              <w:right w:val="single" w:sz="4" w:space="0" w:color="auto"/>
            </w:tcBorders>
            <w:shd w:val="clear" w:color="auto" w:fill="auto"/>
            <w:noWrap/>
          </w:tcPr>
          <w:p w14:paraId="6FC53633" w14:textId="77777777" w:rsidR="0022690C" w:rsidRDefault="0022690C" w:rsidP="0022690C">
            <w:pPr>
              <w:spacing w:after="0" w:line="240" w:lineRule="auto"/>
              <w:jc w:val="right"/>
              <w:rPr>
                <w:rFonts w:eastAsia="Times New Roman" w:cs="Times New Roman"/>
                <w:szCs w:val="24"/>
                <w:lang w:eastAsia="es-ES"/>
              </w:rPr>
            </w:pPr>
            <w:r>
              <w:rPr>
                <w:rFonts w:eastAsia="Times New Roman" w:cs="Times New Roman"/>
                <w:szCs w:val="24"/>
                <w:lang w:eastAsia="es-ES"/>
              </w:rPr>
              <w:t>9.086.014,89</w:t>
            </w:r>
          </w:p>
        </w:tc>
      </w:tr>
      <w:tr w:rsidR="0022690C" w:rsidRPr="008E3E27" w14:paraId="1AB334E3" w14:textId="77777777" w:rsidTr="009E5580">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54080" w14:textId="77777777" w:rsidR="0022690C" w:rsidRPr="008E3E27" w:rsidRDefault="0022690C" w:rsidP="0022690C">
            <w:pPr>
              <w:spacing w:after="0" w:line="240" w:lineRule="auto"/>
              <w:rPr>
                <w:rFonts w:eastAsia="Times New Roman" w:cs="Times New Roman"/>
                <w:b/>
                <w:bCs/>
                <w:szCs w:val="24"/>
                <w:lang w:eastAsia="es-ES"/>
              </w:rPr>
            </w:pPr>
            <w:r w:rsidRPr="008E3E27">
              <w:rPr>
                <w:rFonts w:eastAsia="Times New Roman" w:cs="Times New Roman"/>
                <w:b/>
                <w:bCs/>
                <w:szCs w:val="24"/>
                <w:lang w:eastAsia="es-ES"/>
              </w:rPr>
              <w:t>Total</w:t>
            </w:r>
          </w:p>
        </w:tc>
        <w:tc>
          <w:tcPr>
            <w:tcW w:w="1985" w:type="dxa"/>
            <w:tcBorders>
              <w:top w:val="single" w:sz="4" w:space="0" w:color="auto"/>
              <w:left w:val="nil"/>
              <w:bottom w:val="single" w:sz="4" w:space="0" w:color="auto"/>
              <w:right w:val="single" w:sz="4" w:space="0" w:color="auto"/>
            </w:tcBorders>
          </w:tcPr>
          <w:p w14:paraId="38A82439" w14:textId="792B4925" w:rsidR="0022690C" w:rsidRPr="00B80209" w:rsidRDefault="002C7AF0" w:rsidP="0022690C">
            <w:pPr>
              <w:spacing w:after="0" w:line="240" w:lineRule="auto"/>
              <w:jc w:val="right"/>
              <w:rPr>
                <w:rFonts w:eastAsia="Times New Roman" w:cs="Times New Roman"/>
                <w:b/>
                <w:bCs/>
                <w:szCs w:val="24"/>
                <w:lang w:eastAsia="es-ES"/>
              </w:rPr>
            </w:pPr>
            <w:r>
              <w:rPr>
                <w:rFonts w:eastAsia="Times New Roman" w:cs="Times New Roman"/>
                <w:b/>
                <w:bCs/>
                <w:szCs w:val="24"/>
                <w:lang w:eastAsia="es-ES"/>
              </w:rPr>
              <w:t>40.151.990,</w:t>
            </w:r>
            <w:r w:rsidR="00F86B3E">
              <w:rPr>
                <w:rFonts w:eastAsia="Times New Roman" w:cs="Times New Roman"/>
                <w:b/>
                <w:bCs/>
                <w:szCs w:val="24"/>
                <w:lang w:eastAsia="es-ES"/>
              </w:rPr>
              <w:t>86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2819D" w14:textId="43F2615C" w:rsidR="0022690C" w:rsidRPr="008E40EF" w:rsidRDefault="002C7AF0" w:rsidP="0022690C">
            <w:pPr>
              <w:spacing w:after="0" w:line="240" w:lineRule="auto"/>
              <w:jc w:val="right"/>
              <w:rPr>
                <w:rFonts w:eastAsia="Times New Roman" w:cs="Times New Roman"/>
                <w:b/>
                <w:bCs/>
                <w:szCs w:val="24"/>
                <w:lang w:eastAsia="es-ES"/>
              </w:rPr>
            </w:pPr>
            <w:r>
              <w:rPr>
                <w:rFonts w:eastAsia="Times New Roman" w:cs="Times New Roman"/>
                <w:b/>
                <w:bCs/>
                <w:szCs w:val="24"/>
                <w:lang w:eastAsia="es-ES"/>
              </w:rPr>
              <w:t>9.222.666,92</w:t>
            </w:r>
          </w:p>
        </w:tc>
      </w:tr>
    </w:tbl>
    <w:p w14:paraId="713FB9CB" w14:textId="77777777" w:rsidR="006449F0" w:rsidRDefault="006449F0" w:rsidP="00E10A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A5CDEDE" w14:textId="4A794ECA" w:rsidR="00E10A82" w:rsidRPr="008E40EF" w:rsidRDefault="00A25DD9" w:rsidP="00E10A82">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Pr>
          <w:rFonts w:eastAsia="Batang" w:cs="Times New Roman"/>
          <w:szCs w:val="24"/>
          <w:lang w:val="es-ES_tradnl" w:eastAsia="es-ES"/>
        </w:rPr>
        <w:t>En 2020</w:t>
      </w:r>
      <w:r w:rsidR="00E10A82" w:rsidRPr="008E40EF">
        <w:rPr>
          <w:rFonts w:eastAsia="Batang" w:cs="Times New Roman"/>
          <w:szCs w:val="24"/>
          <w:lang w:val="es-ES_tradnl" w:eastAsia="es-ES"/>
        </w:rPr>
        <w:t xml:space="preserve"> la Sociedad ha registrado unos ingresos por dividendo ordinario en </w:t>
      </w:r>
      <w:r w:rsidR="00E10A82" w:rsidRPr="00C5078E">
        <w:rPr>
          <w:rFonts w:eastAsia="Batang" w:cs="Times New Roman"/>
          <w:szCs w:val="24"/>
          <w:lang w:val="es-ES_tradnl" w:eastAsia="es-ES"/>
        </w:rPr>
        <w:t xml:space="preserve">metálico </w:t>
      </w:r>
      <w:r w:rsidR="00F61EA2" w:rsidRPr="00C5078E">
        <w:rPr>
          <w:rFonts w:eastAsia="Batang" w:cs="Times New Roman"/>
          <w:szCs w:val="24"/>
          <w:lang w:val="es-ES_tradnl" w:eastAsia="es-ES"/>
        </w:rPr>
        <w:t>de 9.086.014,89</w:t>
      </w:r>
      <w:r w:rsidR="00E10A82" w:rsidRPr="00C5078E">
        <w:rPr>
          <w:rFonts w:eastAsia="Batang" w:cs="Times New Roman"/>
          <w:szCs w:val="24"/>
          <w:lang w:val="es-ES_tradnl" w:eastAsia="es-ES"/>
        </w:rPr>
        <w:t xml:space="preserve"> euros,</w:t>
      </w:r>
      <w:r w:rsidR="00F86B3E">
        <w:rPr>
          <w:rFonts w:eastAsia="Batang" w:cs="Times New Roman"/>
          <w:szCs w:val="24"/>
          <w:lang w:val="es-ES_tradnl" w:eastAsia="es-ES"/>
        </w:rPr>
        <w:t xml:space="preserve"> y un dividendo extraordinario en metálico de 30.924.331,38 euros </w:t>
      </w:r>
      <w:r w:rsidR="00E10A82" w:rsidRPr="00C5078E">
        <w:rPr>
          <w:rFonts w:eastAsia="Batang" w:cs="Times New Roman"/>
          <w:szCs w:val="24"/>
          <w:lang w:val="es-ES_tradnl" w:eastAsia="es-ES"/>
        </w:rPr>
        <w:t>procedente</w:t>
      </w:r>
      <w:r w:rsidR="00CA1A65">
        <w:rPr>
          <w:rFonts w:eastAsia="Batang" w:cs="Times New Roman"/>
          <w:szCs w:val="24"/>
          <w:lang w:val="es-ES_tradnl" w:eastAsia="es-ES"/>
        </w:rPr>
        <w:t>s</w:t>
      </w:r>
      <w:r w:rsidR="00E10A82" w:rsidRPr="008E40EF">
        <w:rPr>
          <w:rFonts w:eastAsia="Batang" w:cs="Times New Roman"/>
          <w:szCs w:val="24"/>
          <w:lang w:val="es-ES_tradnl" w:eastAsia="es-ES"/>
        </w:rPr>
        <w:t xml:space="preserve"> de la car</w:t>
      </w:r>
      <w:r>
        <w:rPr>
          <w:rFonts w:eastAsia="Batang" w:cs="Times New Roman"/>
          <w:szCs w:val="24"/>
          <w:lang w:val="es-ES_tradnl" w:eastAsia="es-ES"/>
        </w:rPr>
        <w:t>tera de acciones de Ebro Foods</w:t>
      </w:r>
      <w:r w:rsidR="00F86B3E">
        <w:rPr>
          <w:rFonts w:eastAsia="Batang" w:cs="Times New Roman"/>
          <w:szCs w:val="24"/>
          <w:lang w:val="es-ES_tradnl" w:eastAsia="es-ES"/>
        </w:rPr>
        <w:t>.</w:t>
      </w:r>
    </w:p>
    <w:p w14:paraId="57DED8A4" w14:textId="406354E0" w:rsidR="00E10A82" w:rsidRDefault="00E10A82" w:rsidP="00AE4DA8">
      <w:pPr>
        <w:rPr>
          <w:rFonts w:eastAsia="Batang" w:cs="Times New Roman"/>
          <w:szCs w:val="24"/>
          <w:lang w:val="es-ES_tradnl" w:eastAsia="es-ES"/>
        </w:rPr>
      </w:pPr>
    </w:p>
    <w:p w14:paraId="3DBBE8C5" w14:textId="77777777" w:rsidR="002B7D08" w:rsidRPr="008E40EF" w:rsidRDefault="002B7D08" w:rsidP="00AE4DA8">
      <w:pPr>
        <w:rPr>
          <w:rFonts w:eastAsia="Batang" w:cs="Times New Roman"/>
          <w:szCs w:val="24"/>
          <w:lang w:val="es-ES_tradnl" w:eastAsia="es-ES"/>
        </w:rPr>
      </w:pPr>
    </w:p>
    <w:p w14:paraId="1B29FE4C" w14:textId="771BE071" w:rsidR="008E3E27" w:rsidRPr="008E40EF" w:rsidRDefault="008E40EF"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40EF">
        <w:rPr>
          <w:rFonts w:eastAsia="Batang" w:cs="Times New Roman"/>
          <w:szCs w:val="24"/>
          <w:lang w:val="es-ES_tradnl" w:eastAsia="es-ES"/>
        </w:rPr>
        <w:t>En 201</w:t>
      </w:r>
      <w:r w:rsidR="000369CD">
        <w:rPr>
          <w:rFonts w:eastAsia="Batang" w:cs="Times New Roman"/>
          <w:szCs w:val="24"/>
          <w:lang w:val="es-ES_tradnl" w:eastAsia="es-ES"/>
        </w:rPr>
        <w:t>9</w:t>
      </w:r>
      <w:r w:rsidR="008E3E27" w:rsidRPr="008E40EF">
        <w:rPr>
          <w:rFonts w:eastAsia="Batang" w:cs="Times New Roman"/>
          <w:szCs w:val="24"/>
          <w:lang w:val="es-ES_tradnl" w:eastAsia="es-ES"/>
        </w:rPr>
        <w:t xml:space="preserve"> la Sociedad </w:t>
      </w:r>
      <w:r w:rsidR="00E10A82" w:rsidRPr="008E40EF">
        <w:rPr>
          <w:rFonts w:eastAsia="Batang" w:cs="Times New Roman"/>
          <w:szCs w:val="24"/>
          <w:lang w:val="es-ES_tradnl" w:eastAsia="es-ES"/>
        </w:rPr>
        <w:t>registró</w:t>
      </w:r>
      <w:r w:rsidR="008E3E27" w:rsidRPr="008E40EF">
        <w:rPr>
          <w:rFonts w:eastAsia="Batang" w:cs="Times New Roman"/>
          <w:szCs w:val="24"/>
          <w:lang w:val="es-ES_tradnl" w:eastAsia="es-ES"/>
        </w:rPr>
        <w:t xml:space="preserve"> unos ingresos por dividendo ordinario en metálico de </w:t>
      </w:r>
      <w:r w:rsidR="00C24F43" w:rsidRPr="008E40EF">
        <w:rPr>
          <w:rFonts w:eastAsia="Batang" w:cs="Times New Roman"/>
          <w:szCs w:val="24"/>
          <w:lang w:val="es-ES_tradnl" w:eastAsia="es-ES"/>
        </w:rPr>
        <w:t>9.086.014,89</w:t>
      </w:r>
      <w:r w:rsidRPr="008E40EF">
        <w:rPr>
          <w:rFonts w:eastAsia="Batang" w:cs="Times New Roman"/>
          <w:szCs w:val="24"/>
          <w:lang w:val="es-ES_tradnl" w:eastAsia="es-ES"/>
        </w:rPr>
        <w:t xml:space="preserve"> euros.</w:t>
      </w:r>
    </w:p>
    <w:p w14:paraId="350D609C" w14:textId="77777777" w:rsidR="00B74000" w:rsidRPr="008E3E27" w:rsidRDefault="00B74000"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5D400096" w14:textId="77777777" w:rsidR="008E3E27" w:rsidRPr="008E3E27" w:rsidRDefault="00715C68"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Pr>
          <w:rFonts w:eastAsia="Batang" w:cs="Times New Roman"/>
          <w:szCs w:val="24"/>
          <w:lang w:val="es-ES_tradnl" w:eastAsia="es-ES"/>
        </w:rPr>
        <w:t xml:space="preserve">El </w:t>
      </w:r>
      <w:r w:rsidR="008E3E27" w:rsidRPr="008E3E27">
        <w:rPr>
          <w:rFonts w:eastAsia="Batang" w:cs="Times New Roman"/>
          <w:szCs w:val="24"/>
          <w:lang w:val="es-ES_tradnl" w:eastAsia="es-ES"/>
        </w:rPr>
        <w:t>detalle de los gastos de explotación, en euros, es el siguiente:</w:t>
      </w:r>
    </w:p>
    <w:p w14:paraId="7B635201"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7797" w:type="dxa"/>
        <w:tblInd w:w="562" w:type="dxa"/>
        <w:tblLayout w:type="fixed"/>
        <w:tblCellMar>
          <w:left w:w="70" w:type="dxa"/>
          <w:right w:w="70" w:type="dxa"/>
        </w:tblCellMar>
        <w:tblLook w:val="0000" w:firstRow="0" w:lastRow="0" w:firstColumn="0" w:lastColumn="0" w:noHBand="0" w:noVBand="0"/>
      </w:tblPr>
      <w:tblGrid>
        <w:gridCol w:w="4395"/>
        <w:gridCol w:w="1701"/>
        <w:gridCol w:w="1701"/>
      </w:tblGrid>
      <w:tr w:rsidR="009A736F" w:rsidRPr="008E3E27" w14:paraId="6C9329C3" w14:textId="77777777" w:rsidTr="009A736F">
        <w:trPr>
          <w:trHeight w:val="300"/>
        </w:trPr>
        <w:tc>
          <w:tcPr>
            <w:tcW w:w="4395" w:type="dxa"/>
            <w:tcBorders>
              <w:bottom w:val="single" w:sz="4" w:space="0" w:color="auto"/>
              <w:right w:val="nil"/>
            </w:tcBorders>
            <w:shd w:val="clear" w:color="auto" w:fill="auto"/>
            <w:noWrap/>
            <w:vAlign w:val="bottom"/>
          </w:tcPr>
          <w:p w14:paraId="1227A1A8" w14:textId="77777777" w:rsidR="009A736F" w:rsidRPr="008E3E27" w:rsidRDefault="009A736F" w:rsidP="008E3E27">
            <w:pPr>
              <w:spacing w:after="0" w:line="240" w:lineRule="auto"/>
              <w:rPr>
                <w:rFonts w:eastAsia="Times New Roman" w:cs="Times New Roman"/>
                <w:b/>
                <w:bCs/>
                <w:szCs w:val="24"/>
                <w:lang w:eastAsia="es-ES"/>
              </w:rPr>
            </w:pPr>
          </w:p>
        </w:tc>
        <w:tc>
          <w:tcPr>
            <w:tcW w:w="3402" w:type="dxa"/>
            <w:gridSpan w:val="2"/>
            <w:tcBorders>
              <w:top w:val="single" w:sz="4" w:space="0" w:color="auto"/>
              <w:left w:val="single" w:sz="4" w:space="0" w:color="auto"/>
              <w:bottom w:val="single" w:sz="4" w:space="0" w:color="auto"/>
              <w:right w:val="single" w:sz="4" w:space="0" w:color="auto"/>
            </w:tcBorders>
          </w:tcPr>
          <w:p w14:paraId="3AC682C2" w14:textId="468DA311" w:rsidR="009A736F" w:rsidRPr="009A736F" w:rsidRDefault="009A736F" w:rsidP="008E3E27">
            <w:pPr>
              <w:spacing w:after="0" w:line="240" w:lineRule="auto"/>
              <w:jc w:val="center"/>
              <w:rPr>
                <w:rFonts w:eastAsia="Times New Roman" w:cs="Times New Roman"/>
                <w:szCs w:val="24"/>
                <w:lang w:eastAsia="es-ES"/>
              </w:rPr>
            </w:pPr>
            <w:r>
              <w:rPr>
                <w:rFonts w:eastAsia="Times New Roman" w:cs="Times New Roman"/>
                <w:szCs w:val="24"/>
                <w:lang w:eastAsia="es-ES"/>
              </w:rPr>
              <w:t>Euros</w:t>
            </w:r>
          </w:p>
        </w:tc>
      </w:tr>
      <w:tr w:rsidR="007E23FE" w:rsidRPr="008E3E27" w14:paraId="2146B08C" w14:textId="77777777" w:rsidTr="008B7975">
        <w:trPr>
          <w:trHeight w:val="300"/>
        </w:trPr>
        <w:tc>
          <w:tcPr>
            <w:tcW w:w="4395" w:type="dxa"/>
            <w:tcBorders>
              <w:top w:val="single" w:sz="4" w:space="0" w:color="auto"/>
              <w:left w:val="single" w:sz="4" w:space="0" w:color="auto"/>
              <w:bottom w:val="single" w:sz="4" w:space="0" w:color="auto"/>
              <w:right w:val="nil"/>
            </w:tcBorders>
            <w:shd w:val="clear" w:color="auto" w:fill="auto"/>
            <w:noWrap/>
            <w:vAlign w:val="bottom"/>
          </w:tcPr>
          <w:p w14:paraId="2C4DF690" w14:textId="77777777" w:rsidR="007E23FE" w:rsidRPr="008E3E27" w:rsidRDefault="007E23FE" w:rsidP="008E3E27">
            <w:pPr>
              <w:spacing w:after="0" w:line="240" w:lineRule="auto"/>
              <w:rPr>
                <w:rFonts w:eastAsia="Times New Roman" w:cs="Times New Roman"/>
                <w:b/>
                <w:bCs/>
                <w:szCs w:val="24"/>
                <w:lang w:eastAsia="es-ES"/>
              </w:rPr>
            </w:pPr>
            <w:r w:rsidRPr="008E3E27">
              <w:rPr>
                <w:rFonts w:eastAsia="Times New Roman" w:cs="Times New Roman"/>
                <w:b/>
                <w:bCs/>
                <w:szCs w:val="24"/>
                <w:lang w:eastAsia="es-ES"/>
              </w:rPr>
              <w:t>Otros gastos de explotación.</w:t>
            </w:r>
          </w:p>
        </w:tc>
        <w:tc>
          <w:tcPr>
            <w:tcW w:w="1701" w:type="dxa"/>
            <w:tcBorders>
              <w:top w:val="single" w:sz="4" w:space="0" w:color="auto"/>
              <w:left w:val="single" w:sz="4" w:space="0" w:color="auto"/>
              <w:bottom w:val="single" w:sz="4" w:space="0" w:color="auto"/>
              <w:right w:val="single" w:sz="4" w:space="0" w:color="auto"/>
            </w:tcBorders>
          </w:tcPr>
          <w:p w14:paraId="45F8B214" w14:textId="13F77AB6" w:rsidR="007E23FE" w:rsidRPr="008E3E27" w:rsidRDefault="006D7C34" w:rsidP="008E3E27">
            <w:pPr>
              <w:spacing w:after="0" w:line="240" w:lineRule="auto"/>
              <w:jc w:val="center"/>
              <w:rPr>
                <w:rFonts w:eastAsia="Times New Roman" w:cs="Times New Roman"/>
                <w:b/>
                <w:bCs/>
                <w:szCs w:val="24"/>
                <w:lang w:eastAsia="es-ES"/>
              </w:rPr>
            </w:pPr>
            <w:r>
              <w:rPr>
                <w:rFonts w:eastAsia="Times New Roman" w:cs="Times New Roman"/>
                <w:b/>
                <w:bCs/>
                <w:szCs w:val="24"/>
                <w:lang w:eastAsia="es-ES"/>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472D8" w14:textId="0474E559" w:rsidR="007E23FE" w:rsidRPr="008E3E27" w:rsidRDefault="007E23FE" w:rsidP="008E3E27">
            <w:pPr>
              <w:spacing w:after="0" w:line="240" w:lineRule="auto"/>
              <w:jc w:val="center"/>
              <w:rPr>
                <w:rFonts w:eastAsia="Times New Roman" w:cs="Times New Roman"/>
                <w:b/>
                <w:bCs/>
                <w:szCs w:val="24"/>
                <w:lang w:eastAsia="es-ES"/>
              </w:rPr>
            </w:pPr>
            <w:r w:rsidRPr="008E3E27">
              <w:rPr>
                <w:rFonts w:eastAsia="Times New Roman" w:cs="Times New Roman"/>
                <w:b/>
                <w:bCs/>
                <w:szCs w:val="24"/>
                <w:lang w:eastAsia="es-ES"/>
              </w:rPr>
              <w:t>201</w:t>
            </w:r>
            <w:r w:rsidR="000B5D6A">
              <w:rPr>
                <w:rFonts w:eastAsia="Times New Roman" w:cs="Times New Roman"/>
                <w:b/>
                <w:bCs/>
                <w:szCs w:val="24"/>
                <w:lang w:eastAsia="es-ES"/>
              </w:rPr>
              <w:t>9</w:t>
            </w:r>
          </w:p>
        </w:tc>
      </w:tr>
      <w:tr w:rsidR="004E3E2B" w:rsidRPr="008E3E27" w14:paraId="7E58C281" w14:textId="77777777" w:rsidTr="00C5078E">
        <w:trPr>
          <w:trHeight w:val="300"/>
        </w:trPr>
        <w:tc>
          <w:tcPr>
            <w:tcW w:w="4395" w:type="dxa"/>
            <w:tcBorders>
              <w:top w:val="nil"/>
              <w:left w:val="single" w:sz="4" w:space="0" w:color="auto"/>
              <w:bottom w:val="nil"/>
              <w:right w:val="nil"/>
            </w:tcBorders>
            <w:shd w:val="clear" w:color="auto" w:fill="auto"/>
            <w:noWrap/>
            <w:vAlign w:val="bottom"/>
          </w:tcPr>
          <w:p w14:paraId="2FEFA9E0" w14:textId="77777777" w:rsidR="004E3E2B" w:rsidRPr="008E3E27" w:rsidRDefault="004E3E2B" w:rsidP="004E3E2B">
            <w:pPr>
              <w:spacing w:after="0" w:line="240" w:lineRule="auto"/>
              <w:rPr>
                <w:rFonts w:eastAsia="Times New Roman" w:cs="Times New Roman"/>
                <w:szCs w:val="24"/>
                <w:lang w:eastAsia="es-ES"/>
              </w:rPr>
            </w:pPr>
            <w:r w:rsidRPr="008E3E27">
              <w:rPr>
                <w:rFonts w:eastAsia="Times New Roman" w:cs="Times New Roman"/>
                <w:szCs w:val="24"/>
                <w:lang w:eastAsia="es-ES"/>
              </w:rPr>
              <w:t>Servicios exteriores</w:t>
            </w:r>
          </w:p>
        </w:tc>
        <w:tc>
          <w:tcPr>
            <w:tcW w:w="1701" w:type="dxa"/>
            <w:tcBorders>
              <w:top w:val="nil"/>
              <w:left w:val="single" w:sz="4" w:space="0" w:color="auto"/>
              <w:bottom w:val="nil"/>
              <w:right w:val="single" w:sz="4" w:space="0" w:color="auto"/>
            </w:tcBorders>
          </w:tcPr>
          <w:p w14:paraId="1854C700" w14:textId="7590FF96" w:rsidR="004E3E2B" w:rsidRDefault="000B5D6A" w:rsidP="004E3E2B">
            <w:pPr>
              <w:spacing w:after="0" w:line="240" w:lineRule="auto"/>
              <w:jc w:val="right"/>
              <w:rPr>
                <w:rFonts w:eastAsia="Times New Roman" w:cs="Times New Roman"/>
                <w:szCs w:val="24"/>
                <w:lang w:eastAsia="es-ES"/>
              </w:rPr>
            </w:pPr>
            <w:r>
              <w:rPr>
                <w:rFonts w:eastAsia="Times New Roman" w:cs="Times New Roman"/>
                <w:szCs w:val="24"/>
                <w:lang w:eastAsia="es-ES"/>
              </w:rPr>
              <w:t>65.053,</w:t>
            </w:r>
            <w:r w:rsidR="00F86B3E">
              <w:rPr>
                <w:rFonts w:eastAsia="Times New Roman" w:cs="Times New Roman"/>
                <w:szCs w:val="24"/>
                <w:lang w:eastAsia="es-ES"/>
              </w:rPr>
              <w:t>88</w:t>
            </w:r>
            <w:r w:rsidR="004E3E2B">
              <w:rPr>
                <w:rFonts w:eastAsia="Times New Roman" w:cs="Times New Roman"/>
                <w:szCs w:val="24"/>
                <w:lang w:eastAsia="es-ES"/>
              </w:rPr>
              <w:t xml:space="preserve"> </w:t>
            </w:r>
          </w:p>
        </w:tc>
        <w:tc>
          <w:tcPr>
            <w:tcW w:w="1701" w:type="dxa"/>
            <w:tcBorders>
              <w:top w:val="nil"/>
              <w:left w:val="single" w:sz="4" w:space="0" w:color="auto"/>
              <w:bottom w:val="nil"/>
              <w:right w:val="single" w:sz="4" w:space="0" w:color="auto"/>
            </w:tcBorders>
            <w:shd w:val="clear" w:color="auto" w:fill="auto"/>
            <w:noWrap/>
          </w:tcPr>
          <w:p w14:paraId="07630F90" w14:textId="6AF83E72" w:rsidR="004E3E2B" w:rsidRDefault="000B5D6A" w:rsidP="004E3E2B">
            <w:pPr>
              <w:spacing w:after="0" w:line="240" w:lineRule="auto"/>
              <w:jc w:val="right"/>
              <w:rPr>
                <w:rFonts w:eastAsia="Times New Roman" w:cs="Times New Roman"/>
                <w:szCs w:val="24"/>
                <w:lang w:eastAsia="es-ES"/>
              </w:rPr>
            </w:pPr>
            <w:r>
              <w:rPr>
                <w:rFonts w:eastAsia="Times New Roman" w:cs="Times New Roman"/>
                <w:szCs w:val="24"/>
                <w:lang w:eastAsia="es-ES"/>
              </w:rPr>
              <w:t>61.941,35</w:t>
            </w:r>
            <w:r w:rsidR="004E3E2B">
              <w:rPr>
                <w:rFonts w:eastAsia="Times New Roman" w:cs="Times New Roman"/>
                <w:szCs w:val="24"/>
                <w:lang w:eastAsia="es-ES"/>
              </w:rPr>
              <w:t xml:space="preserve"> </w:t>
            </w:r>
          </w:p>
        </w:tc>
      </w:tr>
      <w:tr w:rsidR="004E3E2B" w:rsidRPr="008E3E27" w14:paraId="41292482" w14:textId="77777777" w:rsidTr="009A736F">
        <w:trPr>
          <w:trHeight w:val="255"/>
        </w:trPr>
        <w:tc>
          <w:tcPr>
            <w:tcW w:w="4395" w:type="dxa"/>
            <w:tcBorders>
              <w:top w:val="nil"/>
              <w:left w:val="single" w:sz="4" w:space="0" w:color="auto"/>
              <w:right w:val="nil"/>
            </w:tcBorders>
            <w:shd w:val="clear" w:color="auto" w:fill="auto"/>
            <w:noWrap/>
            <w:vAlign w:val="bottom"/>
          </w:tcPr>
          <w:p w14:paraId="2E2ABBBC" w14:textId="77777777" w:rsidR="004E3E2B" w:rsidRPr="008E3E27" w:rsidRDefault="004E3E2B" w:rsidP="004E3E2B">
            <w:pPr>
              <w:spacing w:after="0" w:line="240" w:lineRule="auto"/>
              <w:rPr>
                <w:rFonts w:eastAsia="Times New Roman" w:cs="Times New Roman"/>
                <w:szCs w:val="24"/>
                <w:lang w:eastAsia="es-ES"/>
              </w:rPr>
            </w:pPr>
            <w:r w:rsidRPr="008E3E27">
              <w:rPr>
                <w:rFonts w:eastAsia="Times New Roman" w:cs="Times New Roman"/>
                <w:szCs w:val="24"/>
                <w:lang w:eastAsia="es-ES"/>
              </w:rPr>
              <w:t>Tributos</w:t>
            </w:r>
          </w:p>
        </w:tc>
        <w:tc>
          <w:tcPr>
            <w:tcW w:w="1701" w:type="dxa"/>
            <w:tcBorders>
              <w:top w:val="nil"/>
              <w:left w:val="single" w:sz="4" w:space="0" w:color="auto"/>
              <w:right w:val="single" w:sz="4" w:space="0" w:color="auto"/>
            </w:tcBorders>
          </w:tcPr>
          <w:p w14:paraId="3870F24A" w14:textId="392F4DCE" w:rsidR="004E3E2B" w:rsidRDefault="000B5D6A" w:rsidP="00F86B3E">
            <w:pPr>
              <w:spacing w:after="0" w:line="240" w:lineRule="auto"/>
              <w:jc w:val="right"/>
              <w:rPr>
                <w:rFonts w:eastAsia="Times New Roman" w:cs="Times New Roman"/>
                <w:szCs w:val="24"/>
                <w:lang w:eastAsia="es-ES"/>
              </w:rPr>
            </w:pPr>
            <w:r>
              <w:rPr>
                <w:rFonts w:eastAsia="Times New Roman" w:cs="Times New Roman"/>
                <w:szCs w:val="24"/>
                <w:lang w:eastAsia="es-ES"/>
              </w:rPr>
              <w:t>4.5</w:t>
            </w:r>
            <w:r w:rsidR="009A736F">
              <w:rPr>
                <w:rFonts w:eastAsia="Times New Roman" w:cs="Times New Roman"/>
                <w:szCs w:val="24"/>
                <w:lang w:eastAsia="es-ES"/>
              </w:rPr>
              <w:t>81</w:t>
            </w:r>
            <w:r>
              <w:rPr>
                <w:rFonts w:eastAsia="Times New Roman" w:cs="Times New Roman"/>
                <w:szCs w:val="24"/>
                <w:lang w:eastAsia="es-ES"/>
              </w:rPr>
              <w:t>,5</w:t>
            </w:r>
            <w:r w:rsidR="009A736F">
              <w:rPr>
                <w:rFonts w:eastAsia="Times New Roman" w:cs="Times New Roman"/>
                <w:szCs w:val="24"/>
                <w:lang w:eastAsia="es-ES"/>
              </w:rPr>
              <w:t>1</w:t>
            </w:r>
          </w:p>
        </w:tc>
        <w:tc>
          <w:tcPr>
            <w:tcW w:w="1701" w:type="dxa"/>
            <w:tcBorders>
              <w:top w:val="nil"/>
              <w:left w:val="single" w:sz="4" w:space="0" w:color="auto"/>
              <w:right w:val="single" w:sz="4" w:space="0" w:color="auto"/>
            </w:tcBorders>
            <w:shd w:val="clear" w:color="auto" w:fill="auto"/>
            <w:noWrap/>
          </w:tcPr>
          <w:p w14:paraId="600BD64D" w14:textId="6D0D7A1D" w:rsidR="004E3E2B" w:rsidRDefault="000B5D6A" w:rsidP="004E3E2B">
            <w:pPr>
              <w:spacing w:after="0" w:line="240" w:lineRule="auto"/>
              <w:jc w:val="right"/>
              <w:rPr>
                <w:rFonts w:eastAsia="Times New Roman" w:cs="Times New Roman"/>
                <w:szCs w:val="24"/>
                <w:lang w:eastAsia="es-ES"/>
              </w:rPr>
            </w:pPr>
            <w:r>
              <w:rPr>
                <w:rFonts w:eastAsia="Times New Roman" w:cs="Times New Roman"/>
                <w:szCs w:val="24"/>
                <w:lang w:eastAsia="es-ES"/>
              </w:rPr>
              <w:t>27.455,70</w:t>
            </w:r>
            <w:r w:rsidR="004E3E2B">
              <w:rPr>
                <w:rFonts w:eastAsia="Times New Roman" w:cs="Times New Roman"/>
                <w:szCs w:val="24"/>
                <w:lang w:eastAsia="es-ES"/>
              </w:rPr>
              <w:t xml:space="preserve"> </w:t>
            </w:r>
          </w:p>
        </w:tc>
      </w:tr>
      <w:tr w:rsidR="009A736F" w:rsidRPr="008E3E27" w14:paraId="1E532F8D" w14:textId="77777777" w:rsidTr="009A736F">
        <w:trPr>
          <w:trHeight w:val="255"/>
        </w:trPr>
        <w:tc>
          <w:tcPr>
            <w:tcW w:w="4395" w:type="dxa"/>
            <w:tcBorders>
              <w:left w:val="single" w:sz="4" w:space="0" w:color="auto"/>
              <w:bottom w:val="single" w:sz="4" w:space="0" w:color="auto"/>
              <w:right w:val="single" w:sz="4" w:space="0" w:color="auto"/>
            </w:tcBorders>
            <w:shd w:val="clear" w:color="auto" w:fill="auto"/>
            <w:noWrap/>
            <w:vAlign w:val="bottom"/>
          </w:tcPr>
          <w:p w14:paraId="74F4F554" w14:textId="257DBD79" w:rsidR="009A736F" w:rsidRPr="009A736F" w:rsidRDefault="009A736F" w:rsidP="004E3E2B">
            <w:pPr>
              <w:spacing w:after="0" w:line="240" w:lineRule="auto"/>
              <w:rPr>
                <w:rFonts w:eastAsia="Times New Roman" w:cs="Times New Roman"/>
                <w:szCs w:val="24"/>
                <w:lang w:eastAsia="es-ES"/>
              </w:rPr>
            </w:pPr>
            <w:r>
              <w:rPr>
                <w:rFonts w:eastAsia="Times New Roman" w:cs="Times New Roman"/>
                <w:szCs w:val="24"/>
                <w:lang w:eastAsia="es-ES"/>
              </w:rPr>
              <w:t>Otros gastos de gestión corriente</w:t>
            </w:r>
          </w:p>
        </w:tc>
        <w:tc>
          <w:tcPr>
            <w:tcW w:w="1701" w:type="dxa"/>
            <w:tcBorders>
              <w:left w:val="nil"/>
              <w:bottom w:val="single" w:sz="4" w:space="0" w:color="auto"/>
              <w:right w:val="single" w:sz="4" w:space="0" w:color="auto"/>
            </w:tcBorders>
          </w:tcPr>
          <w:p w14:paraId="74748103" w14:textId="5CE5B250" w:rsidR="009A736F" w:rsidRPr="009A736F" w:rsidRDefault="009A736F" w:rsidP="004E3E2B">
            <w:pPr>
              <w:spacing w:after="0" w:line="240" w:lineRule="auto"/>
              <w:jc w:val="right"/>
              <w:rPr>
                <w:rFonts w:eastAsia="Times New Roman" w:cs="Times New Roman"/>
                <w:szCs w:val="24"/>
                <w:lang w:eastAsia="es-ES"/>
              </w:rPr>
            </w:pPr>
            <w:r w:rsidRPr="009A736F">
              <w:rPr>
                <w:rFonts w:eastAsia="Times New Roman" w:cs="Times New Roman"/>
                <w:szCs w:val="24"/>
                <w:lang w:eastAsia="es-ES"/>
              </w:rPr>
              <w:t>0,02</w:t>
            </w:r>
          </w:p>
        </w:tc>
        <w:tc>
          <w:tcPr>
            <w:tcW w:w="1701" w:type="dxa"/>
            <w:tcBorders>
              <w:left w:val="single" w:sz="4" w:space="0" w:color="auto"/>
              <w:bottom w:val="single" w:sz="4" w:space="0" w:color="auto"/>
              <w:right w:val="single" w:sz="4" w:space="0" w:color="auto"/>
            </w:tcBorders>
            <w:shd w:val="clear" w:color="auto" w:fill="auto"/>
            <w:noWrap/>
          </w:tcPr>
          <w:p w14:paraId="348646B4" w14:textId="72F67EA7" w:rsidR="009A736F" w:rsidRPr="009A736F" w:rsidRDefault="009A736F" w:rsidP="009A736F">
            <w:pPr>
              <w:spacing w:after="0" w:line="240" w:lineRule="auto"/>
              <w:jc w:val="center"/>
              <w:rPr>
                <w:rFonts w:eastAsia="Times New Roman" w:cs="Times New Roman"/>
                <w:szCs w:val="24"/>
                <w:lang w:eastAsia="es-ES"/>
              </w:rPr>
            </w:pPr>
            <w:r w:rsidRPr="009A736F">
              <w:rPr>
                <w:rFonts w:eastAsia="Times New Roman" w:cs="Times New Roman"/>
                <w:szCs w:val="24"/>
                <w:lang w:eastAsia="es-ES"/>
              </w:rPr>
              <w:t>-</w:t>
            </w:r>
          </w:p>
        </w:tc>
      </w:tr>
      <w:tr w:rsidR="004E3E2B" w:rsidRPr="008E3E27" w14:paraId="7021E2CB" w14:textId="77777777" w:rsidTr="009E5580">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7594" w14:textId="77777777" w:rsidR="004E3E2B" w:rsidRPr="008E3E27" w:rsidRDefault="004E3E2B" w:rsidP="004E3E2B">
            <w:pPr>
              <w:spacing w:after="0" w:line="240" w:lineRule="auto"/>
              <w:rPr>
                <w:rFonts w:eastAsia="Times New Roman" w:cs="Times New Roman"/>
                <w:b/>
                <w:bCs/>
                <w:szCs w:val="24"/>
                <w:lang w:eastAsia="es-ES"/>
              </w:rPr>
            </w:pPr>
            <w:r w:rsidRPr="008E3E27">
              <w:rPr>
                <w:rFonts w:eastAsia="Times New Roman" w:cs="Times New Roman"/>
                <w:b/>
                <w:bCs/>
                <w:szCs w:val="24"/>
                <w:lang w:eastAsia="es-ES"/>
              </w:rPr>
              <w:t>Total</w:t>
            </w:r>
          </w:p>
        </w:tc>
        <w:tc>
          <w:tcPr>
            <w:tcW w:w="1701" w:type="dxa"/>
            <w:tcBorders>
              <w:top w:val="single" w:sz="4" w:space="0" w:color="auto"/>
              <w:left w:val="nil"/>
              <w:bottom w:val="single" w:sz="4" w:space="0" w:color="auto"/>
              <w:right w:val="single" w:sz="4" w:space="0" w:color="auto"/>
            </w:tcBorders>
          </w:tcPr>
          <w:p w14:paraId="292D8D40" w14:textId="5925D21A" w:rsidR="004E3E2B" w:rsidRDefault="000B5D6A" w:rsidP="004E3E2B">
            <w:pPr>
              <w:spacing w:after="0" w:line="240" w:lineRule="auto"/>
              <w:jc w:val="right"/>
              <w:rPr>
                <w:rFonts w:eastAsia="Times New Roman" w:cs="Times New Roman"/>
                <w:b/>
                <w:bCs/>
                <w:szCs w:val="24"/>
                <w:lang w:eastAsia="es-ES"/>
              </w:rPr>
            </w:pPr>
            <w:r>
              <w:rPr>
                <w:rFonts w:eastAsia="Times New Roman" w:cs="Times New Roman"/>
                <w:b/>
                <w:bCs/>
                <w:szCs w:val="24"/>
                <w:lang w:eastAsia="es-ES"/>
              </w:rPr>
              <w:t>69.6</w:t>
            </w:r>
            <w:r w:rsidR="009A736F">
              <w:rPr>
                <w:rFonts w:eastAsia="Times New Roman" w:cs="Times New Roman"/>
                <w:b/>
                <w:bCs/>
                <w:szCs w:val="24"/>
                <w:lang w:eastAsia="es-ES"/>
              </w:rPr>
              <w:t>35</w:t>
            </w:r>
            <w:r>
              <w:rPr>
                <w:rFonts w:eastAsia="Times New Roman" w:cs="Times New Roman"/>
                <w:b/>
                <w:bCs/>
                <w:szCs w:val="24"/>
                <w:lang w:eastAsia="es-ES"/>
              </w:rPr>
              <w:t>,</w:t>
            </w:r>
            <w:r w:rsidR="009A736F">
              <w:rPr>
                <w:rFonts w:eastAsia="Times New Roman" w:cs="Times New Roman"/>
                <w:b/>
                <w:bCs/>
                <w:szCs w:val="24"/>
                <w:lang w:eastAsia="es-ES"/>
              </w:rPr>
              <w:t>41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90ABF6" w14:textId="35CEBC6B" w:rsidR="004E3E2B" w:rsidRDefault="000B5D6A" w:rsidP="004E3E2B">
            <w:pPr>
              <w:spacing w:after="0" w:line="240" w:lineRule="auto"/>
              <w:jc w:val="right"/>
              <w:rPr>
                <w:rFonts w:eastAsia="Times New Roman" w:cs="Times New Roman"/>
                <w:b/>
                <w:bCs/>
                <w:szCs w:val="24"/>
                <w:lang w:eastAsia="es-ES"/>
              </w:rPr>
            </w:pPr>
            <w:r>
              <w:rPr>
                <w:rFonts w:eastAsia="Times New Roman" w:cs="Times New Roman"/>
                <w:b/>
                <w:bCs/>
                <w:szCs w:val="24"/>
                <w:lang w:eastAsia="es-ES"/>
              </w:rPr>
              <w:t>89.397,05</w:t>
            </w:r>
          </w:p>
        </w:tc>
      </w:tr>
    </w:tbl>
    <w:p w14:paraId="5F066B33"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0B68C488"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9F93471"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El detalle de ingresos financieros, en euros, es el siguiente:</w:t>
      </w:r>
    </w:p>
    <w:p w14:paraId="585DACBD"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pPr w:leftFromText="141" w:rightFromText="141" w:vertAnchor="text" w:horzAnchor="page" w:tblpX="2216" w:tblpY="140"/>
        <w:tblW w:w="7800" w:type="dxa"/>
        <w:tblLayout w:type="fixed"/>
        <w:tblCellMar>
          <w:left w:w="70" w:type="dxa"/>
          <w:right w:w="70" w:type="dxa"/>
        </w:tblCellMar>
        <w:tblLook w:val="0000" w:firstRow="0" w:lastRow="0" w:firstColumn="0" w:lastColumn="0" w:noHBand="0" w:noVBand="0"/>
      </w:tblPr>
      <w:tblGrid>
        <w:gridCol w:w="4390"/>
        <w:gridCol w:w="1705"/>
        <w:gridCol w:w="1705"/>
      </w:tblGrid>
      <w:tr w:rsidR="009A736F" w:rsidRPr="008E3E27" w14:paraId="5D4CAD65" w14:textId="77777777" w:rsidTr="009A736F">
        <w:trPr>
          <w:trHeight w:val="255"/>
        </w:trPr>
        <w:tc>
          <w:tcPr>
            <w:tcW w:w="4390" w:type="dxa"/>
            <w:tcBorders>
              <w:bottom w:val="single" w:sz="4" w:space="0" w:color="auto"/>
              <w:right w:val="nil"/>
            </w:tcBorders>
            <w:shd w:val="clear" w:color="auto" w:fill="auto"/>
            <w:noWrap/>
            <w:vAlign w:val="bottom"/>
          </w:tcPr>
          <w:p w14:paraId="073A9D09" w14:textId="77777777" w:rsidR="009A736F" w:rsidRPr="008E3E27" w:rsidRDefault="009A736F" w:rsidP="009A736F">
            <w:pPr>
              <w:spacing w:after="0" w:line="240" w:lineRule="auto"/>
              <w:rPr>
                <w:rFonts w:eastAsia="Times New Roman" w:cs="Times New Roman"/>
                <w:b/>
                <w:bCs/>
                <w:szCs w:val="24"/>
                <w:lang w:eastAsia="es-ES"/>
              </w:rPr>
            </w:pPr>
          </w:p>
        </w:tc>
        <w:tc>
          <w:tcPr>
            <w:tcW w:w="3410" w:type="dxa"/>
            <w:gridSpan w:val="2"/>
            <w:tcBorders>
              <w:top w:val="single" w:sz="4" w:space="0" w:color="auto"/>
              <w:left w:val="single" w:sz="4" w:space="0" w:color="auto"/>
              <w:bottom w:val="single" w:sz="4" w:space="0" w:color="auto"/>
              <w:right w:val="single" w:sz="4" w:space="0" w:color="auto"/>
            </w:tcBorders>
          </w:tcPr>
          <w:p w14:paraId="1A84375D" w14:textId="54C9D872" w:rsidR="009A736F" w:rsidRPr="008E3E27" w:rsidRDefault="009A736F" w:rsidP="009A736F">
            <w:pPr>
              <w:spacing w:after="0" w:line="240" w:lineRule="auto"/>
              <w:jc w:val="center"/>
              <w:rPr>
                <w:rFonts w:eastAsia="Times New Roman" w:cs="Times New Roman"/>
                <w:b/>
                <w:bCs/>
                <w:szCs w:val="24"/>
                <w:lang w:eastAsia="es-ES"/>
              </w:rPr>
            </w:pPr>
            <w:r w:rsidRPr="005836BE">
              <w:rPr>
                <w:rFonts w:eastAsia="Times New Roman" w:cs="Times New Roman"/>
                <w:szCs w:val="24"/>
                <w:lang w:eastAsia="es-ES"/>
              </w:rPr>
              <w:t>Euros</w:t>
            </w:r>
          </w:p>
        </w:tc>
      </w:tr>
      <w:tr w:rsidR="007E23FE" w:rsidRPr="008E3E27" w14:paraId="569C8240" w14:textId="77777777" w:rsidTr="004E3E2B">
        <w:trPr>
          <w:trHeight w:val="255"/>
        </w:trPr>
        <w:tc>
          <w:tcPr>
            <w:tcW w:w="4390" w:type="dxa"/>
            <w:tcBorders>
              <w:top w:val="single" w:sz="4" w:space="0" w:color="auto"/>
              <w:left w:val="single" w:sz="4" w:space="0" w:color="auto"/>
              <w:bottom w:val="single" w:sz="4" w:space="0" w:color="auto"/>
              <w:right w:val="nil"/>
            </w:tcBorders>
            <w:shd w:val="clear" w:color="auto" w:fill="auto"/>
            <w:noWrap/>
            <w:vAlign w:val="bottom"/>
          </w:tcPr>
          <w:p w14:paraId="1CB8B8C3" w14:textId="77777777" w:rsidR="007E23FE" w:rsidRPr="008E3E27" w:rsidRDefault="007E23FE" w:rsidP="00D4176D">
            <w:pPr>
              <w:spacing w:after="0" w:line="240" w:lineRule="auto"/>
              <w:rPr>
                <w:rFonts w:eastAsia="Times New Roman" w:cs="Times New Roman"/>
                <w:b/>
                <w:bCs/>
                <w:szCs w:val="24"/>
                <w:lang w:eastAsia="es-ES"/>
              </w:rPr>
            </w:pPr>
            <w:r w:rsidRPr="008E3E27">
              <w:rPr>
                <w:rFonts w:eastAsia="Times New Roman" w:cs="Times New Roman"/>
                <w:b/>
                <w:bCs/>
                <w:szCs w:val="24"/>
                <w:lang w:eastAsia="es-ES"/>
              </w:rPr>
              <w:t xml:space="preserve">De valores negociables y otros </w:t>
            </w:r>
          </w:p>
        </w:tc>
        <w:tc>
          <w:tcPr>
            <w:tcW w:w="1705" w:type="dxa"/>
            <w:tcBorders>
              <w:top w:val="single" w:sz="4" w:space="0" w:color="auto"/>
              <w:left w:val="single" w:sz="4" w:space="0" w:color="auto"/>
              <w:bottom w:val="single" w:sz="4" w:space="0" w:color="auto"/>
              <w:right w:val="single" w:sz="4" w:space="0" w:color="auto"/>
            </w:tcBorders>
          </w:tcPr>
          <w:p w14:paraId="7594CC1B" w14:textId="51198B37" w:rsidR="007E23FE" w:rsidRPr="008E3E27" w:rsidRDefault="006D7C34" w:rsidP="00D4176D">
            <w:pPr>
              <w:spacing w:after="0" w:line="240" w:lineRule="auto"/>
              <w:jc w:val="center"/>
              <w:rPr>
                <w:rFonts w:eastAsia="Times New Roman" w:cs="Times New Roman"/>
                <w:b/>
                <w:bCs/>
                <w:szCs w:val="24"/>
                <w:lang w:eastAsia="es-ES"/>
              </w:rPr>
            </w:pPr>
            <w:r>
              <w:rPr>
                <w:rFonts w:eastAsia="Times New Roman" w:cs="Times New Roman"/>
                <w:b/>
                <w:bCs/>
                <w:szCs w:val="24"/>
                <w:lang w:eastAsia="es-ES"/>
              </w:rPr>
              <w:t>2020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71BA5" w14:textId="59729EA8" w:rsidR="007E23FE" w:rsidRPr="008E3E27" w:rsidRDefault="007E23FE" w:rsidP="00D4176D">
            <w:pPr>
              <w:spacing w:after="0" w:line="240" w:lineRule="auto"/>
              <w:jc w:val="center"/>
              <w:rPr>
                <w:rFonts w:eastAsia="Times New Roman" w:cs="Times New Roman"/>
                <w:b/>
                <w:bCs/>
                <w:szCs w:val="24"/>
                <w:lang w:eastAsia="es-ES"/>
              </w:rPr>
            </w:pPr>
            <w:r w:rsidRPr="008E3E27">
              <w:rPr>
                <w:rFonts w:eastAsia="Times New Roman" w:cs="Times New Roman"/>
                <w:b/>
                <w:bCs/>
                <w:szCs w:val="24"/>
                <w:lang w:eastAsia="es-ES"/>
              </w:rPr>
              <w:t>201</w:t>
            </w:r>
            <w:r w:rsidR="00371877">
              <w:rPr>
                <w:rFonts w:eastAsia="Times New Roman" w:cs="Times New Roman"/>
                <w:b/>
                <w:bCs/>
                <w:szCs w:val="24"/>
                <w:lang w:eastAsia="es-ES"/>
              </w:rPr>
              <w:t>9</w:t>
            </w:r>
          </w:p>
        </w:tc>
      </w:tr>
      <w:tr w:rsidR="004E3E2B" w:rsidRPr="008E3E27" w14:paraId="1EA0C2F6" w14:textId="77777777" w:rsidTr="004E3E2B">
        <w:trPr>
          <w:trHeight w:val="255"/>
        </w:trPr>
        <w:tc>
          <w:tcPr>
            <w:tcW w:w="4390" w:type="dxa"/>
            <w:tcBorders>
              <w:top w:val="nil"/>
              <w:left w:val="single" w:sz="4" w:space="0" w:color="auto"/>
              <w:bottom w:val="nil"/>
              <w:right w:val="single" w:sz="4" w:space="0" w:color="auto"/>
            </w:tcBorders>
            <w:shd w:val="clear" w:color="auto" w:fill="auto"/>
            <w:noWrap/>
            <w:vAlign w:val="bottom"/>
          </w:tcPr>
          <w:p w14:paraId="4D3DAE03" w14:textId="4201345D" w:rsidR="004E3E2B" w:rsidRPr="008E3E27" w:rsidRDefault="0078408F" w:rsidP="004E3E2B">
            <w:pPr>
              <w:spacing w:after="0" w:line="240" w:lineRule="auto"/>
              <w:rPr>
                <w:rFonts w:eastAsia="Times New Roman" w:cs="Times New Roman"/>
                <w:szCs w:val="24"/>
                <w:lang w:eastAsia="es-ES"/>
              </w:rPr>
            </w:pPr>
            <w:r>
              <w:rPr>
                <w:rFonts w:eastAsia="Times New Roman" w:cs="Times New Roman"/>
                <w:szCs w:val="24"/>
                <w:lang w:eastAsia="es-ES"/>
              </w:rPr>
              <w:t>Otros</w:t>
            </w:r>
          </w:p>
        </w:tc>
        <w:tc>
          <w:tcPr>
            <w:tcW w:w="1705" w:type="dxa"/>
            <w:tcBorders>
              <w:top w:val="single" w:sz="4" w:space="0" w:color="auto"/>
              <w:left w:val="nil"/>
              <w:bottom w:val="nil"/>
              <w:right w:val="single" w:sz="4" w:space="0" w:color="auto"/>
            </w:tcBorders>
          </w:tcPr>
          <w:p w14:paraId="52497DFC" w14:textId="70DD7B5A" w:rsidR="004E3E2B" w:rsidRDefault="0078408F" w:rsidP="002B7D08">
            <w:pPr>
              <w:spacing w:after="0" w:line="240" w:lineRule="auto"/>
              <w:jc w:val="right"/>
              <w:rPr>
                <w:rFonts w:eastAsia="Times New Roman" w:cs="Times New Roman"/>
                <w:szCs w:val="24"/>
                <w:lang w:eastAsia="es-ES"/>
              </w:rPr>
            </w:pPr>
            <w:r>
              <w:rPr>
                <w:rFonts w:eastAsia="Times New Roman" w:cs="Times New Roman"/>
                <w:szCs w:val="24"/>
                <w:lang w:eastAsia="es-ES"/>
              </w:rPr>
              <w:t>1,22</w:t>
            </w:r>
          </w:p>
        </w:tc>
        <w:tc>
          <w:tcPr>
            <w:tcW w:w="1705" w:type="dxa"/>
            <w:tcBorders>
              <w:top w:val="nil"/>
              <w:left w:val="single" w:sz="4" w:space="0" w:color="auto"/>
              <w:bottom w:val="nil"/>
              <w:right w:val="single" w:sz="4" w:space="0" w:color="auto"/>
            </w:tcBorders>
            <w:shd w:val="clear" w:color="auto" w:fill="auto"/>
            <w:noWrap/>
          </w:tcPr>
          <w:p w14:paraId="6872FEAB" w14:textId="77777777" w:rsidR="004E3E2B" w:rsidRDefault="004E3E2B" w:rsidP="004E3E2B">
            <w:pPr>
              <w:spacing w:after="0" w:line="240" w:lineRule="auto"/>
              <w:jc w:val="center"/>
              <w:rPr>
                <w:rFonts w:eastAsia="Times New Roman" w:cs="Times New Roman"/>
                <w:szCs w:val="24"/>
                <w:lang w:eastAsia="es-ES"/>
              </w:rPr>
            </w:pPr>
            <w:r>
              <w:rPr>
                <w:rFonts w:eastAsia="Times New Roman" w:cs="Times New Roman"/>
                <w:szCs w:val="24"/>
                <w:lang w:eastAsia="es-ES"/>
              </w:rPr>
              <w:t>-</w:t>
            </w:r>
          </w:p>
        </w:tc>
      </w:tr>
      <w:tr w:rsidR="004E3E2B" w:rsidRPr="008E3E27" w14:paraId="61AEA74B" w14:textId="77777777" w:rsidTr="004E3E2B">
        <w:trPr>
          <w:trHeight w:val="255"/>
        </w:trPr>
        <w:tc>
          <w:tcPr>
            <w:tcW w:w="4390" w:type="dxa"/>
            <w:tcBorders>
              <w:top w:val="nil"/>
              <w:left w:val="single" w:sz="4" w:space="0" w:color="auto"/>
              <w:right w:val="single" w:sz="4" w:space="0" w:color="auto"/>
            </w:tcBorders>
            <w:shd w:val="clear" w:color="auto" w:fill="auto"/>
            <w:noWrap/>
            <w:vAlign w:val="bottom"/>
          </w:tcPr>
          <w:p w14:paraId="18640CDE" w14:textId="77777777" w:rsidR="004E3E2B" w:rsidRPr="008E3E27" w:rsidRDefault="004E3E2B" w:rsidP="004E3E2B">
            <w:pPr>
              <w:spacing w:after="0" w:line="240" w:lineRule="auto"/>
              <w:rPr>
                <w:rFonts w:eastAsia="Times New Roman" w:cs="Times New Roman"/>
                <w:szCs w:val="24"/>
                <w:lang w:eastAsia="es-ES"/>
              </w:rPr>
            </w:pPr>
            <w:r w:rsidRPr="008E3E27">
              <w:rPr>
                <w:rFonts w:eastAsia="Times New Roman" w:cs="Times New Roman"/>
                <w:szCs w:val="24"/>
                <w:lang w:eastAsia="es-ES"/>
              </w:rPr>
              <w:t>Depósitos inter-SEPI (Nota 10)</w:t>
            </w:r>
          </w:p>
        </w:tc>
        <w:tc>
          <w:tcPr>
            <w:tcW w:w="1705" w:type="dxa"/>
            <w:tcBorders>
              <w:top w:val="nil"/>
              <w:left w:val="nil"/>
              <w:right w:val="single" w:sz="4" w:space="0" w:color="auto"/>
            </w:tcBorders>
          </w:tcPr>
          <w:p w14:paraId="514E6EA6" w14:textId="3E0830C3" w:rsidR="004E3E2B" w:rsidRDefault="0078408F" w:rsidP="00371877">
            <w:pPr>
              <w:spacing w:after="0" w:line="240" w:lineRule="auto"/>
              <w:jc w:val="center"/>
              <w:rPr>
                <w:rFonts w:eastAsia="Times New Roman" w:cs="Times New Roman"/>
                <w:szCs w:val="24"/>
                <w:lang w:eastAsia="es-ES"/>
              </w:rPr>
            </w:pPr>
            <w:r>
              <w:rPr>
                <w:rFonts w:eastAsia="Times New Roman" w:cs="Times New Roman"/>
                <w:szCs w:val="24"/>
                <w:lang w:eastAsia="es-ES"/>
              </w:rPr>
              <w:t>-</w:t>
            </w:r>
          </w:p>
        </w:tc>
        <w:tc>
          <w:tcPr>
            <w:tcW w:w="1705" w:type="dxa"/>
            <w:tcBorders>
              <w:top w:val="nil"/>
              <w:left w:val="single" w:sz="4" w:space="0" w:color="auto"/>
              <w:right w:val="single" w:sz="4" w:space="0" w:color="auto"/>
            </w:tcBorders>
            <w:shd w:val="clear" w:color="auto" w:fill="auto"/>
            <w:noWrap/>
          </w:tcPr>
          <w:p w14:paraId="48F7B384" w14:textId="5A5DE379" w:rsidR="004E3E2B" w:rsidRDefault="00371877" w:rsidP="004E3E2B">
            <w:pPr>
              <w:spacing w:after="0" w:line="240" w:lineRule="auto"/>
              <w:jc w:val="right"/>
              <w:rPr>
                <w:rFonts w:eastAsia="Times New Roman" w:cs="Times New Roman"/>
                <w:szCs w:val="24"/>
                <w:lang w:eastAsia="es-ES"/>
              </w:rPr>
            </w:pPr>
            <w:r>
              <w:rPr>
                <w:rFonts w:eastAsia="Times New Roman" w:cs="Times New Roman"/>
                <w:szCs w:val="24"/>
                <w:lang w:eastAsia="es-ES"/>
              </w:rPr>
              <w:t>7.473,97</w:t>
            </w:r>
          </w:p>
        </w:tc>
      </w:tr>
      <w:tr w:rsidR="004E3E2B" w:rsidRPr="008E3E27" w14:paraId="2824F60D" w14:textId="77777777" w:rsidTr="004E3E2B">
        <w:trPr>
          <w:trHeight w:val="25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4C802" w14:textId="77777777" w:rsidR="004E3E2B" w:rsidRPr="008E3E27" w:rsidRDefault="004E3E2B" w:rsidP="004E3E2B">
            <w:pPr>
              <w:spacing w:after="0" w:line="240" w:lineRule="auto"/>
              <w:rPr>
                <w:rFonts w:eastAsia="Times New Roman" w:cs="Times New Roman"/>
                <w:b/>
                <w:bCs/>
                <w:szCs w:val="24"/>
                <w:lang w:eastAsia="es-ES"/>
              </w:rPr>
            </w:pPr>
            <w:r w:rsidRPr="008E3E27">
              <w:rPr>
                <w:rFonts w:eastAsia="Times New Roman" w:cs="Times New Roman"/>
                <w:b/>
                <w:bCs/>
                <w:szCs w:val="24"/>
                <w:lang w:eastAsia="es-ES"/>
              </w:rPr>
              <w:t>Total</w:t>
            </w:r>
          </w:p>
        </w:tc>
        <w:tc>
          <w:tcPr>
            <w:tcW w:w="1705" w:type="dxa"/>
            <w:tcBorders>
              <w:top w:val="single" w:sz="4" w:space="0" w:color="auto"/>
              <w:left w:val="nil"/>
              <w:bottom w:val="single" w:sz="4" w:space="0" w:color="auto"/>
              <w:right w:val="single" w:sz="4" w:space="0" w:color="auto"/>
            </w:tcBorders>
          </w:tcPr>
          <w:p w14:paraId="4389AD73" w14:textId="49C27EAD" w:rsidR="004E3E2B" w:rsidRDefault="0078408F" w:rsidP="002B7D08">
            <w:pPr>
              <w:spacing w:after="0" w:line="240" w:lineRule="auto"/>
              <w:jc w:val="right"/>
              <w:rPr>
                <w:rFonts w:eastAsia="Times New Roman" w:cs="Times New Roman"/>
                <w:b/>
                <w:bCs/>
                <w:szCs w:val="24"/>
                <w:lang w:eastAsia="es-ES"/>
              </w:rPr>
            </w:pPr>
            <w:r>
              <w:rPr>
                <w:rFonts w:eastAsia="Times New Roman" w:cs="Times New Roman"/>
                <w:b/>
                <w:bCs/>
                <w:szCs w:val="24"/>
                <w:lang w:eastAsia="es-ES"/>
              </w:rPr>
              <w:t>1,22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14:paraId="13CFDB83" w14:textId="321EF536" w:rsidR="004E3E2B" w:rsidRDefault="00371877" w:rsidP="004E3E2B">
            <w:pPr>
              <w:spacing w:after="0" w:line="240" w:lineRule="auto"/>
              <w:jc w:val="right"/>
              <w:rPr>
                <w:rFonts w:eastAsia="Times New Roman" w:cs="Times New Roman"/>
                <w:b/>
                <w:bCs/>
                <w:szCs w:val="24"/>
                <w:lang w:eastAsia="es-ES"/>
              </w:rPr>
            </w:pPr>
            <w:r>
              <w:rPr>
                <w:rFonts w:eastAsia="Times New Roman" w:cs="Times New Roman"/>
                <w:b/>
                <w:bCs/>
                <w:szCs w:val="24"/>
                <w:lang w:eastAsia="es-ES"/>
              </w:rPr>
              <w:t>7.473,97</w:t>
            </w:r>
          </w:p>
        </w:tc>
      </w:tr>
    </w:tbl>
    <w:p w14:paraId="590B90FF" w14:textId="77777777" w:rsidR="00B80209" w:rsidRDefault="00B80209" w:rsidP="00B80209">
      <w:pPr>
        <w:rPr>
          <w:rFonts w:eastAsia="Batang" w:cs="Times New Roman"/>
          <w:szCs w:val="24"/>
          <w:lang w:val="es-ES_tradnl" w:eastAsia="es-ES"/>
        </w:rPr>
      </w:pPr>
    </w:p>
    <w:p w14:paraId="2BC66F8A" w14:textId="77777777" w:rsidR="00B80209" w:rsidRDefault="00B80209" w:rsidP="00B80209">
      <w:pPr>
        <w:rPr>
          <w:rFonts w:eastAsia="Batang" w:cs="Times New Roman"/>
          <w:szCs w:val="24"/>
          <w:lang w:val="es-ES_tradnl" w:eastAsia="es-ES"/>
        </w:rPr>
      </w:pPr>
    </w:p>
    <w:p w14:paraId="76B1BFFF" w14:textId="77777777" w:rsidR="00B80209" w:rsidRDefault="00B80209" w:rsidP="00B80209">
      <w:pPr>
        <w:rPr>
          <w:rFonts w:eastAsia="Batang" w:cs="Times New Roman"/>
          <w:szCs w:val="24"/>
          <w:lang w:val="es-ES_tradnl" w:eastAsia="es-ES"/>
        </w:rPr>
      </w:pPr>
    </w:p>
    <w:p w14:paraId="1FA91299" w14:textId="77777777" w:rsidR="00F90946" w:rsidRDefault="00F90946" w:rsidP="00B80209">
      <w:pPr>
        <w:rPr>
          <w:rFonts w:eastAsia="Batang" w:cs="Times New Roman"/>
          <w:szCs w:val="24"/>
          <w:lang w:val="es-ES_tradnl" w:eastAsia="es-ES"/>
        </w:rPr>
      </w:pPr>
    </w:p>
    <w:p w14:paraId="2CF0ADE4" w14:textId="284BCD7A" w:rsidR="002B7D08" w:rsidRDefault="002B7D08" w:rsidP="002B7D08">
      <w:pPr>
        <w:overflowPunct w:val="0"/>
        <w:autoSpaceDE w:val="0"/>
        <w:autoSpaceDN w:val="0"/>
        <w:adjustRightInd w:val="0"/>
        <w:spacing w:after="0" w:line="240" w:lineRule="auto"/>
        <w:ind w:left="540" w:right="1025"/>
        <w:textAlignment w:val="baseline"/>
        <w:outlineLvl w:val="0"/>
        <w:rPr>
          <w:rFonts w:eastAsia="Batang" w:cs="Times New Roman"/>
          <w:b/>
          <w:bCs/>
          <w:szCs w:val="24"/>
          <w:u w:val="single"/>
          <w:lang w:val="es-ES_tradnl" w:eastAsia="es-ES"/>
        </w:rPr>
      </w:pPr>
    </w:p>
    <w:p w14:paraId="7F167AC0" w14:textId="1C700D81" w:rsidR="002B7D08" w:rsidRDefault="002B7D08" w:rsidP="002B7D08">
      <w:pPr>
        <w:overflowPunct w:val="0"/>
        <w:autoSpaceDE w:val="0"/>
        <w:autoSpaceDN w:val="0"/>
        <w:adjustRightInd w:val="0"/>
        <w:spacing w:after="0" w:line="240" w:lineRule="auto"/>
        <w:ind w:left="540" w:right="1025"/>
        <w:textAlignment w:val="baseline"/>
        <w:outlineLvl w:val="0"/>
        <w:rPr>
          <w:rFonts w:eastAsia="Batang" w:cs="Times New Roman"/>
          <w:b/>
          <w:bCs/>
          <w:szCs w:val="24"/>
          <w:u w:val="single"/>
          <w:lang w:val="es-ES_tradnl" w:eastAsia="es-ES"/>
        </w:rPr>
      </w:pPr>
    </w:p>
    <w:p w14:paraId="11C2BF65" w14:textId="77777777" w:rsidR="002B7D08" w:rsidRDefault="002B7D08" w:rsidP="002B7D08">
      <w:pPr>
        <w:overflowPunct w:val="0"/>
        <w:autoSpaceDE w:val="0"/>
        <w:autoSpaceDN w:val="0"/>
        <w:adjustRightInd w:val="0"/>
        <w:spacing w:after="0" w:line="240" w:lineRule="auto"/>
        <w:ind w:left="540" w:right="1025"/>
        <w:textAlignment w:val="baseline"/>
        <w:outlineLvl w:val="0"/>
        <w:rPr>
          <w:rFonts w:eastAsia="Batang" w:cs="Times New Roman"/>
          <w:b/>
          <w:bCs/>
          <w:szCs w:val="24"/>
          <w:u w:val="single"/>
          <w:lang w:val="es-ES_tradnl" w:eastAsia="es-ES"/>
        </w:rPr>
      </w:pPr>
    </w:p>
    <w:p w14:paraId="536C4E4A" w14:textId="05B286F9" w:rsidR="008E3E27" w:rsidRPr="00B80209" w:rsidRDefault="008E3E27" w:rsidP="004E7EBD">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8E3E27">
        <w:rPr>
          <w:rFonts w:eastAsia="Batang" w:cs="Times New Roman"/>
          <w:b/>
          <w:bCs/>
          <w:szCs w:val="24"/>
          <w:u w:val="single"/>
          <w:lang w:val="es-ES_tradnl" w:eastAsia="es-ES"/>
        </w:rPr>
        <w:t>HECHOS POSTERIORES AL CIERRE</w:t>
      </w:r>
    </w:p>
    <w:p w14:paraId="7D0442F9"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78A3F59" w14:textId="551E63E1" w:rsid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A2232E">
        <w:rPr>
          <w:rFonts w:eastAsia="Batang" w:cs="Times New Roman"/>
          <w:szCs w:val="24"/>
          <w:lang w:val="es-ES_tradnl" w:eastAsia="es-ES"/>
        </w:rPr>
        <w:t>Con posterior</w:t>
      </w:r>
      <w:r w:rsidR="00371877">
        <w:rPr>
          <w:rFonts w:eastAsia="Batang" w:cs="Times New Roman"/>
          <w:szCs w:val="24"/>
          <w:lang w:val="es-ES_tradnl" w:eastAsia="es-ES"/>
        </w:rPr>
        <w:t>idad al cierre del ejercicio 2020</w:t>
      </w:r>
      <w:r w:rsidRPr="00A2232E">
        <w:rPr>
          <w:rFonts w:eastAsia="Batang" w:cs="Times New Roman"/>
          <w:szCs w:val="24"/>
          <w:lang w:val="es-ES_tradnl" w:eastAsia="es-ES"/>
        </w:rPr>
        <w:t>, y hasta la fecha de presentación de esta memoria, no se han producido hechos de relevancia para la Sociedad.</w:t>
      </w:r>
    </w:p>
    <w:p w14:paraId="7DACFA97" w14:textId="77777777" w:rsidR="00740CBD" w:rsidRDefault="00740CBD"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3D0C47C" w14:textId="77353BA3" w:rsidR="00A93969" w:rsidRDefault="00A93969"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503DD406" w14:textId="77777777" w:rsidR="002B7D08" w:rsidRDefault="002B7D08"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50BF8C5" w14:textId="77777777" w:rsidR="008E3E27" w:rsidRPr="008E3E27" w:rsidRDefault="008E3E27" w:rsidP="004E7EBD">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8E3E27">
        <w:rPr>
          <w:rFonts w:eastAsia="Batang" w:cs="Times New Roman"/>
          <w:b/>
          <w:bCs/>
          <w:szCs w:val="24"/>
          <w:u w:val="single"/>
          <w:lang w:val="es-ES_tradnl" w:eastAsia="es-ES"/>
        </w:rPr>
        <w:t>OPERACIÓN Y SALDOS CON PARTES VINCULADAS</w:t>
      </w:r>
    </w:p>
    <w:p w14:paraId="57536C3D"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66C55B9" w14:textId="06667FAE" w:rsid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Las principales transacciones realizadas con empresas del Grupo S.E.</w:t>
      </w:r>
      <w:r w:rsidR="00371877">
        <w:rPr>
          <w:rFonts w:eastAsia="Batang" w:cs="Times New Roman"/>
          <w:szCs w:val="24"/>
          <w:lang w:val="es-ES_tradnl" w:eastAsia="es-ES"/>
        </w:rPr>
        <w:t>P.I., durante los ejercicios 2020</w:t>
      </w:r>
      <w:r w:rsidRPr="008E3E27">
        <w:rPr>
          <w:rFonts w:eastAsia="Batang" w:cs="Times New Roman"/>
          <w:szCs w:val="24"/>
          <w:lang w:val="es-ES_tradnl" w:eastAsia="es-ES"/>
        </w:rPr>
        <w:t xml:space="preserve"> y 201</w:t>
      </w:r>
      <w:r w:rsidR="00371877">
        <w:rPr>
          <w:rFonts w:eastAsia="Batang" w:cs="Times New Roman"/>
          <w:szCs w:val="24"/>
          <w:lang w:val="es-ES_tradnl" w:eastAsia="es-ES"/>
        </w:rPr>
        <w:t>9</w:t>
      </w:r>
      <w:r w:rsidRPr="008E3E27">
        <w:rPr>
          <w:rFonts w:eastAsia="Batang" w:cs="Times New Roman"/>
          <w:szCs w:val="24"/>
          <w:lang w:val="es-ES_tradnl" w:eastAsia="es-ES"/>
        </w:rPr>
        <w:t>, son las siguientes en euros:</w:t>
      </w:r>
    </w:p>
    <w:p w14:paraId="138124DE" w14:textId="77777777" w:rsidR="009A736F" w:rsidRPr="008E3E27" w:rsidRDefault="009A736F"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tbl>
      <w:tblPr>
        <w:tblW w:w="7749" w:type="dxa"/>
        <w:tblInd w:w="610" w:type="dxa"/>
        <w:tblLayout w:type="fixed"/>
        <w:tblCellMar>
          <w:left w:w="70" w:type="dxa"/>
          <w:right w:w="70" w:type="dxa"/>
        </w:tblCellMar>
        <w:tblLook w:val="0000" w:firstRow="0" w:lastRow="0" w:firstColumn="0" w:lastColumn="0" w:noHBand="0" w:noVBand="0"/>
      </w:tblPr>
      <w:tblGrid>
        <w:gridCol w:w="4063"/>
        <w:gridCol w:w="1843"/>
        <w:gridCol w:w="1843"/>
      </w:tblGrid>
      <w:tr w:rsidR="009A736F" w:rsidRPr="008E3E27" w14:paraId="44DFA9A5" w14:textId="77777777" w:rsidTr="00AE2A1E">
        <w:trPr>
          <w:trHeight w:val="300"/>
        </w:trPr>
        <w:tc>
          <w:tcPr>
            <w:tcW w:w="4063" w:type="dxa"/>
            <w:tcBorders>
              <w:right w:val="nil"/>
            </w:tcBorders>
            <w:shd w:val="clear" w:color="auto" w:fill="auto"/>
            <w:noWrap/>
            <w:vAlign w:val="bottom"/>
          </w:tcPr>
          <w:p w14:paraId="05CF10EB" w14:textId="77777777" w:rsidR="009A736F" w:rsidRPr="008E3E27" w:rsidRDefault="009A736F" w:rsidP="008E3E27">
            <w:pPr>
              <w:spacing w:after="0" w:line="240" w:lineRule="auto"/>
              <w:rPr>
                <w:rFonts w:eastAsia="Times New Roman" w:cs="Times New Roman"/>
                <w:b/>
                <w:bCs/>
                <w:szCs w:val="24"/>
                <w:lang w:eastAsia="es-ES"/>
              </w:rPr>
            </w:pPr>
          </w:p>
        </w:tc>
        <w:tc>
          <w:tcPr>
            <w:tcW w:w="3686" w:type="dxa"/>
            <w:gridSpan w:val="2"/>
            <w:tcBorders>
              <w:top w:val="single" w:sz="4" w:space="0" w:color="auto"/>
              <w:left w:val="single" w:sz="4" w:space="0" w:color="auto"/>
              <w:bottom w:val="single" w:sz="4" w:space="0" w:color="auto"/>
              <w:right w:val="single" w:sz="4" w:space="0" w:color="auto"/>
            </w:tcBorders>
          </w:tcPr>
          <w:p w14:paraId="74BAFF43" w14:textId="5C8227A7" w:rsidR="009A736F" w:rsidRPr="009A736F" w:rsidRDefault="009A736F" w:rsidP="009A736F">
            <w:pPr>
              <w:spacing w:after="0" w:line="240" w:lineRule="auto"/>
              <w:jc w:val="center"/>
              <w:rPr>
                <w:rFonts w:eastAsia="Times New Roman" w:cs="Times New Roman"/>
                <w:szCs w:val="24"/>
                <w:lang w:eastAsia="es-ES"/>
              </w:rPr>
            </w:pPr>
            <w:r>
              <w:rPr>
                <w:rFonts w:eastAsia="Times New Roman" w:cs="Times New Roman"/>
                <w:szCs w:val="24"/>
                <w:lang w:eastAsia="es-ES"/>
              </w:rPr>
              <w:t>Euros</w:t>
            </w:r>
          </w:p>
        </w:tc>
      </w:tr>
      <w:tr w:rsidR="007E23FE" w:rsidRPr="008E3E27" w14:paraId="74CEBBAB" w14:textId="77777777" w:rsidTr="009A736F">
        <w:trPr>
          <w:trHeight w:val="300"/>
        </w:trPr>
        <w:tc>
          <w:tcPr>
            <w:tcW w:w="4063" w:type="dxa"/>
            <w:tcBorders>
              <w:bottom w:val="single" w:sz="4" w:space="0" w:color="auto"/>
              <w:right w:val="nil"/>
            </w:tcBorders>
            <w:shd w:val="clear" w:color="auto" w:fill="auto"/>
            <w:noWrap/>
            <w:vAlign w:val="bottom"/>
          </w:tcPr>
          <w:p w14:paraId="05E648B4" w14:textId="77777777" w:rsidR="007E23FE" w:rsidRPr="008E3E27" w:rsidRDefault="007E23FE" w:rsidP="008E3E27">
            <w:pPr>
              <w:spacing w:after="0" w:line="240" w:lineRule="auto"/>
              <w:rPr>
                <w:rFonts w:eastAsia="Times New Roman" w:cs="Times New Roman"/>
                <w:b/>
                <w:bCs/>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14:paraId="6E7FCF18" w14:textId="11D17B58" w:rsidR="007E23FE" w:rsidRPr="008E3E27" w:rsidRDefault="00A93969" w:rsidP="008E3E27">
            <w:pPr>
              <w:spacing w:after="0" w:line="240" w:lineRule="auto"/>
              <w:jc w:val="center"/>
              <w:rPr>
                <w:rFonts w:eastAsia="Times New Roman" w:cs="Times New Roman"/>
                <w:b/>
                <w:bCs/>
                <w:szCs w:val="24"/>
                <w:lang w:eastAsia="es-ES"/>
              </w:rPr>
            </w:pPr>
            <w:r>
              <w:rPr>
                <w:rFonts w:eastAsia="Times New Roman" w:cs="Times New Roman"/>
                <w:b/>
                <w:bCs/>
                <w:szCs w:val="24"/>
                <w:lang w:eastAsia="es-ES"/>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8C447" w14:textId="67B03EE0" w:rsidR="007E23FE" w:rsidRPr="008E3E27" w:rsidRDefault="007E23FE" w:rsidP="008E3E27">
            <w:pPr>
              <w:spacing w:after="0" w:line="240" w:lineRule="auto"/>
              <w:jc w:val="center"/>
              <w:rPr>
                <w:rFonts w:eastAsia="Times New Roman" w:cs="Times New Roman"/>
                <w:b/>
                <w:bCs/>
                <w:szCs w:val="24"/>
                <w:lang w:eastAsia="es-ES"/>
              </w:rPr>
            </w:pPr>
            <w:r w:rsidRPr="008E3E27">
              <w:rPr>
                <w:rFonts w:eastAsia="Times New Roman" w:cs="Times New Roman"/>
                <w:b/>
                <w:bCs/>
                <w:szCs w:val="24"/>
                <w:lang w:eastAsia="es-ES"/>
              </w:rPr>
              <w:t>201</w:t>
            </w:r>
            <w:r w:rsidR="00B52E0A">
              <w:rPr>
                <w:rFonts w:eastAsia="Times New Roman" w:cs="Times New Roman"/>
                <w:b/>
                <w:bCs/>
                <w:szCs w:val="24"/>
                <w:lang w:eastAsia="es-ES"/>
              </w:rPr>
              <w:t>9</w:t>
            </w:r>
          </w:p>
        </w:tc>
      </w:tr>
      <w:tr w:rsidR="004A12B5" w:rsidRPr="008E3E27" w14:paraId="53FC3D66" w14:textId="77777777" w:rsidTr="00C5078E">
        <w:trPr>
          <w:trHeight w:val="255"/>
        </w:trPr>
        <w:tc>
          <w:tcPr>
            <w:tcW w:w="4063" w:type="dxa"/>
            <w:tcBorders>
              <w:top w:val="nil"/>
              <w:left w:val="single" w:sz="4" w:space="0" w:color="auto"/>
              <w:right w:val="single" w:sz="4" w:space="0" w:color="auto"/>
            </w:tcBorders>
            <w:shd w:val="clear" w:color="auto" w:fill="auto"/>
            <w:noWrap/>
            <w:vAlign w:val="bottom"/>
          </w:tcPr>
          <w:p w14:paraId="3A029432" w14:textId="77777777" w:rsidR="004A12B5" w:rsidRPr="008E3E27" w:rsidRDefault="004A12B5" w:rsidP="004A12B5">
            <w:pPr>
              <w:spacing w:after="0" w:line="240" w:lineRule="auto"/>
              <w:rPr>
                <w:rFonts w:eastAsia="Times New Roman" w:cs="Times New Roman"/>
                <w:b/>
                <w:szCs w:val="24"/>
                <w:lang w:eastAsia="es-ES"/>
              </w:rPr>
            </w:pPr>
            <w:r w:rsidRPr="008E3E27">
              <w:rPr>
                <w:rFonts w:eastAsia="Times New Roman" w:cs="Times New Roman"/>
                <w:b/>
                <w:szCs w:val="24"/>
                <w:lang w:eastAsia="es-ES"/>
              </w:rPr>
              <w:t>Servicios de Administración</w:t>
            </w:r>
          </w:p>
        </w:tc>
        <w:tc>
          <w:tcPr>
            <w:tcW w:w="1843" w:type="dxa"/>
            <w:tcBorders>
              <w:top w:val="single" w:sz="4" w:space="0" w:color="auto"/>
              <w:left w:val="single" w:sz="4" w:space="0" w:color="auto"/>
              <w:right w:val="single" w:sz="4" w:space="0" w:color="auto"/>
            </w:tcBorders>
          </w:tcPr>
          <w:p w14:paraId="0FFC0C6C" w14:textId="77777777" w:rsidR="004A12B5" w:rsidRPr="008E3E27" w:rsidRDefault="004A12B5" w:rsidP="004A12B5">
            <w:pPr>
              <w:spacing w:after="0" w:line="240" w:lineRule="auto"/>
              <w:jc w:val="center"/>
              <w:rPr>
                <w:rFonts w:eastAsia="Times New Roman" w:cs="Times New Roman"/>
                <w:szCs w:val="24"/>
                <w:lang w:eastAsia="es-ES"/>
              </w:rPr>
            </w:pPr>
          </w:p>
        </w:tc>
        <w:tc>
          <w:tcPr>
            <w:tcW w:w="1843" w:type="dxa"/>
            <w:tcBorders>
              <w:top w:val="single" w:sz="4" w:space="0" w:color="auto"/>
              <w:left w:val="single" w:sz="4" w:space="0" w:color="auto"/>
              <w:right w:val="single" w:sz="4" w:space="0" w:color="auto"/>
            </w:tcBorders>
            <w:shd w:val="clear" w:color="auto" w:fill="auto"/>
            <w:noWrap/>
          </w:tcPr>
          <w:p w14:paraId="53753EEF" w14:textId="77777777" w:rsidR="004A12B5" w:rsidRPr="008E3E27" w:rsidRDefault="004A12B5" w:rsidP="004A12B5">
            <w:pPr>
              <w:spacing w:after="0" w:line="240" w:lineRule="auto"/>
              <w:jc w:val="center"/>
              <w:rPr>
                <w:rFonts w:eastAsia="Times New Roman" w:cs="Times New Roman"/>
                <w:szCs w:val="24"/>
                <w:lang w:eastAsia="es-ES"/>
              </w:rPr>
            </w:pPr>
          </w:p>
        </w:tc>
      </w:tr>
      <w:tr w:rsidR="004A12B5" w:rsidRPr="008E3E27" w14:paraId="2306487C" w14:textId="77777777" w:rsidTr="00C5078E">
        <w:trPr>
          <w:trHeight w:val="255"/>
        </w:trPr>
        <w:tc>
          <w:tcPr>
            <w:tcW w:w="4063" w:type="dxa"/>
            <w:tcBorders>
              <w:top w:val="nil"/>
              <w:left w:val="single" w:sz="4" w:space="0" w:color="auto"/>
              <w:bottom w:val="single" w:sz="4" w:space="0" w:color="auto"/>
              <w:right w:val="single" w:sz="4" w:space="0" w:color="auto"/>
            </w:tcBorders>
            <w:shd w:val="clear" w:color="auto" w:fill="auto"/>
            <w:noWrap/>
            <w:vAlign w:val="bottom"/>
          </w:tcPr>
          <w:p w14:paraId="525C95C3" w14:textId="0838194C" w:rsidR="004A12B5" w:rsidRPr="00D00E85" w:rsidRDefault="004A12B5" w:rsidP="009A736F">
            <w:pPr>
              <w:spacing w:after="0" w:line="240" w:lineRule="auto"/>
              <w:rPr>
                <w:rFonts w:eastAsia="Times New Roman" w:cs="Times New Roman"/>
                <w:szCs w:val="24"/>
                <w:lang w:eastAsia="es-ES"/>
              </w:rPr>
            </w:pPr>
            <w:r w:rsidRPr="008E3E27">
              <w:rPr>
                <w:rFonts w:eastAsia="Times New Roman" w:cs="Times New Roman"/>
                <w:szCs w:val="24"/>
                <w:lang w:eastAsia="es-ES"/>
              </w:rPr>
              <w:t>Cofivacasa, S.A.</w:t>
            </w:r>
            <w:r>
              <w:rPr>
                <w:rFonts w:eastAsia="Times New Roman" w:cs="Times New Roman"/>
                <w:szCs w:val="24"/>
                <w:lang w:eastAsia="es-ES"/>
              </w:rPr>
              <w:t>, S.M.E.</w:t>
            </w:r>
          </w:p>
        </w:tc>
        <w:tc>
          <w:tcPr>
            <w:tcW w:w="1843" w:type="dxa"/>
            <w:tcBorders>
              <w:top w:val="nil"/>
              <w:left w:val="single" w:sz="4" w:space="0" w:color="auto"/>
              <w:bottom w:val="single" w:sz="4" w:space="0" w:color="auto"/>
              <w:right w:val="single" w:sz="4" w:space="0" w:color="auto"/>
            </w:tcBorders>
          </w:tcPr>
          <w:p w14:paraId="44EA4164" w14:textId="3E0B04D3" w:rsidR="004A12B5" w:rsidRPr="00BC0F5B" w:rsidRDefault="00FE7F38" w:rsidP="004A12B5">
            <w:pPr>
              <w:spacing w:after="0" w:line="240" w:lineRule="auto"/>
              <w:jc w:val="right"/>
              <w:rPr>
                <w:rFonts w:eastAsia="Times New Roman" w:cs="Times New Roman"/>
                <w:szCs w:val="24"/>
                <w:lang w:eastAsia="es-ES"/>
              </w:rPr>
            </w:pPr>
            <w:r>
              <w:rPr>
                <w:rFonts w:eastAsia="Times New Roman" w:cs="Times New Roman"/>
                <w:szCs w:val="24"/>
                <w:lang w:eastAsia="es-ES"/>
              </w:rPr>
              <w:t>46.198,19</w:t>
            </w:r>
          </w:p>
        </w:tc>
        <w:tc>
          <w:tcPr>
            <w:tcW w:w="1843" w:type="dxa"/>
            <w:tcBorders>
              <w:top w:val="nil"/>
              <w:left w:val="single" w:sz="4" w:space="0" w:color="auto"/>
              <w:bottom w:val="single" w:sz="4" w:space="0" w:color="auto"/>
              <w:right w:val="single" w:sz="4" w:space="0" w:color="auto"/>
            </w:tcBorders>
            <w:shd w:val="clear" w:color="auto" w:fill="auto"/>
            <w:noWrap/>
          </w:tcPr>
          <w:p w14:paraId="69DB7437" w14:textId="29F765C3" w:rsidR="004A12B5" w:rsidRPr="00BC0F5B" w:rsidRDefault="00B52E0A" w:rsidP="004A12B5">
            <w:pPr>
              <w:spacing w:after="0" w:line="240" w:lineRule="auto"/>
              <w:jc w:val="right"/>
              <w:rPr>
                <w:rFonts w:eastAsia="Times New Roman" w:cs="Times New Roman"/>
                <w:szCs w:val="24"/>
                <w:lang w:eastAsia="es-ES"/>
              </w:rPr>
            </w:pPr>
            <w:r>
              <w:rPr>
                <w:rFonts w:eastAsia="Times New Roman" w:cs="Times New Roman"/>
                <w:szCs w:val="24"/>
                <w:lang w:eastAsia="es-ES"/>
              </w:rPr>
              <w:t>45.831,54</w:t>
            </w:r>
          </w:p>
        </w:tc>
      </w:tr>
      <w:tr w:rsidR="004A12B5" w:rsidRPr="008E3E27" w14:paraId="2DEAD094" w14:textId="77777777" w:rsidTr="00C5078E">
        <w:trPr>
          <w:trHeight w:val="61"/>
        </w:trPr>
        <w:tc>
          <w:tcPr>
            <w:tcW w:w="4063" w:type="dxa"/>
            <w:tcBorders>
              <w:top w:val="nil"/>
              <w:left w:val="single" w:sz="4" w:space="0" w:color="auto"/>
              <w:right w:val="nil"/>
            </w:tcBorders>
            <w:shd w:val="clear" w:color="auto" w:fill="auto"/>
            <w:noWrap/>
            <w:vAlign w:val="bottom"/>
          </w:tcPr>
          <w:p w14:paraId="4317831B" w14:textId="77777777" w:rsidR="004A12B5" w:rsidRPr="008E3E27" w:rsidRDefault="004A12B5" w:rsidP="004A12B5">
            <w:pPr>
              <w:spacing w:after="0" w:line="240" w:lineRule="auto"/>
              <w:rPr>
                <w:rFonts w:eastAsia="Times New Roman" w:cs="Times New Roman"/>
                <w:b/>
                <w:szCs w:val="24"/>
                <w:lang w:eastAsia="es-ES"/>
              </w:rPr>
            </w:pPr>
            <w:r w:rsidRPr="008E3E27">
              <w:rPr>
                <w:rFonts w:eastAsia="Times New Roman" w:cs="Times New Roman"/>
                <w:b/>
                <w:szCs w:val="24"/>
                <w:lang w:eastAsia="es-ES"/>
              </w:rPr>
              <w:t xml:space="preserve">Ingresos financieros </w:t>
            </w:r>
            <w:r w:rsidRPr="008E3E27">
              <w:rPr>
                <w:rFonts w:eastAsia="Times New Roman" w:cs="Times New Roman"/>
                <w:szCs w:val="24"/>
                <w:lang w:eastAsia="es-ES"/>
              </w:rPr>
              <w:t>(véase Nota 8)</w:t>
            </w:r>
          </w:p>
        </w:tc>
        <w:tc>
          <w:tcPr>
            <w:tcW w:w="1843" w:type="dxa"/>
            <w:tcBorders>
              <w:top w:val="single" w:sz="4" w:space="0" w:color="auto"/>
              <w:left w:val="single" w:sz="4" w:space="0" w:color="auto"/>
              <w:right w:val="single" w:sz="4" w:space="0" w:color="auto"/>
            </w:tcBorders>
          </w:tcPr>
          <w:p w14:paraId="780D7647" w14:textId="77777777" w:rsidR="004A12B5" w:rsidRPr="008E3E27" w:rsidRDefault="004A12B5" w:rsidP="004A12B5">
            <w:pPr>
              <w:spacing w:after="0" w:line="240" w:lineRule="auto"/>
              <w:jc w:val="right"/>
              <w:rPr>
                <w:rFonts w:eastAsia="Times New Roman" w:cs="Times New Roman"/>
                <w:szCs w:val="24"/>
                <w:highlight w:val="yellow"/>
                <w:lang w:eastAsia="es-ES"/>
              </w:rPr>
            </w:pPr>
          </w:p>
        </w:tc>
        <w:tc>
          <w:tcPr>
            <w:tcW w:w="1843" w:type="dxa"/>
            <w:tcBorders>
              <w:top w:val="single" w:sz="4" w:space="0" w:color="auto"/>
              <w:left w:val="single" w:sz="4" w:space="0" w:color="auto"/>
              <w:right w:val="single" w:sz="4" w:space="0" w:color="auto"/>
            </w:tcBorders>
            <w:shd w:val="clear" w:color="auto" w:fill="auto"/>
            <w:noWrap/>
          </w:tcPr>
          <w:p w14:paraId="377F68F8" w14:textId="77777777" w:rsidR="004A12B5" w:rsidRPr="008E3E27" w:rsidRDefault="004A12B5" w:rsidP="004A12B5">
            <w:pPr>
              <w:spacing w:after="0" w:line="240" w:lineRule="auto"/>
              <w:jc w:val="right"/>
              <w:rPr>
                <w:rFonts w:eastAsia="Times New Roman" w:cs="Times New Roman"/>
                <w:szCs w:val="24"/>
                <w:highlight w:val="yellow"/>
                <w:lang w:eastAsia="es-ES"/>
              </w:rPr>
            </w:pPr>
          </w:p>
        </w:tc>
      </w:tr>
      <w:tr w:rsidR="004A12B5" w:rsidRPr="008E3E27" w14:paraId="0D661EB3" w14:textId="77777777" w:rsidTr="00C5078E">
        <w:trPr>
          <w:trHeight w:val="255"/>
        </w:trPr>
        <w:tc>
          <w:tcPr>
            <w:tcW w:w="4063" w:type="dxa"/>
            <w:tcBorders>
              <w:top w:val="nil"/>
              <w:left w:val="single" w:sz="4" w:space="0" w:color="auto"/>
              <w:bottom w:val="single" w:sz="4" w:space="0" w:color="auto"/>
              <w:right w:val="nil"/>
            </w:tcBorders>
            <w:shd w:val="clear" w:color="auto" w:fill="auto"/>
            <w:noWrap/>
            <w:vAlign w:val="bottom"/>
          </w:tcPr>
          <w:p w14:paraId="2450997B" w14:textId="77777777" w:rsidR="004A12B5" w:rsidRPr="008E3E27" w:rsidRDefault="004A12B5" w:rsidP="004A12B5">
            <w:pPr>
              <w:spacing w:after="0" w:line="240" w:lineRule="auto"/>
              <w:rPr>
                <w:rFonts w:eastAsia="Times New Roman" w:cs="Times New Roman"/>
                <w:szCs w:val="24"/>
                <w:lang w:eastAsia="es-ES"/>
              </w:rPr>
            </w:pPr>
            <w:r w:rsidRPr="008E3E27">
              <w:rPr>
                <w:rFonts w:eastAsia="Times New Roman" w:cs="Times New Roman"/>
                <w:szCs w:val="24"/>
                <w:lang w:eastAsia="es-ES"/>
              </w:rPr>
              <w:t xml:space="preserve">Intereses depósitos inter-SEPI </w:t>
            </w:r>
          </w:p>
        </w:tc>
        <w:tc>
          <w:tcPr>
            <w:tcW w:w="1843" w:type="dxa"/>
            <w:tcBorders>
              <w:top w:val="nil"/>
              <w:left w:val="single" w:sz="4" w:space="0" w:color="auto"/>
              <w:bottom w:val="single" w:sz="4" w:space="0" w:color="auto"/>
              <w:right w:val="single" w:sz="4" w:space="0" w:color="auto"/>
            </w:tcBorders>
          </w:tcPr>
          <w:p w14:paraId="431CC3BF" w14:textId="0F0A3B92" w:rsidR="004A12B5" w:rsidRDefault="00B52E0A" w:rsidP="00B52E0A">
            <w:pPr>
              <w:spacing w:after="0" w:line="240" w:lineRule="auto"/>
              <w:jc w:val="center"/>
              <w:rPr>
                <w:rFonts w:eastAsia="Times New Roman" w:cs="Times New Roman"/>
                <w:szCs w:val="24"/>
                <w:lang w:eastAsia="es-ES"/>
              </w:rPr>
            </w:pPr>
            <w:r>
              <w:rPr>
                <w:rFonts w:eastAsia="Times New Roman" w:cs="Times New Roman"/>
                <w:szCs w:val="24"/>
                <w:lang w:eastAsia="es-ES"/>
              </w:rPr>
              <w:t>-</w:t>
            </w:r>
          </w:p>
        </w:tc>
        <w:tc>
          <w:tcPr>
            <w:tcW w:w="1843" w:type="dxa"/>
            <w:tcBorders>
              <w:top w:val="nil"/>
              <w:left w:val="single" w:sz="4" w:space="0" w:color="auto"/>
              <w:bottom w:val="single" w:sz="4" w:space="0" w:color="auto"/>
              <w:right w:val="single" w:sz="4" w:space="0" w:color="auto"/>
            </w:tcBorders>
            <w:shd w:val="clear" w:color="auto" w:fill="auto"/>
            <w:noWrap/>
          </w:tcPr>
          <w:p w14:paraId="418E5BD7" w14:textId="2BC83D70" w:rsidR="004A12B5" w:rsidRDefault="00B52E0A" w:rsidP="004A12B5">
            <w:pPr>
              <w:spacing w:after="0" w:line="240" w:lineRule="auto"/>
              <w:jc w:val="right"/>
              <w:rPr>
                <w:rFonts w:eastAsia="Times New Roman" w:cs="Times New Roman"/>
                <w:szCs w:val="24"/>
                <w:lang w:eastAsia="es-ES"/>
              </w:rPr>
            </w:pPr>
            <w:r>
              <w:rPr>
                <w:rFonts w:eastAsia="Times New Roman" w:cs="Times New Roman"/>
                <w:szCs w:val="24"/>
                <w:lang w:eastAsia="es-ES"/>
              </w:rPr>
              <w:t>7.473,97</w:t>
            </w:r>
          </w:p>
        </w:tc>
      </w:tr>
    </w:tbl>
    <w:p w14:paraId="1286027E" w14:textId="6EFBD51A" w:rsidR="007F3818" w:rsidRDefault="007F3818" w:rsidP="00B80209">
      <w:pPr>
        <w:rPr>
          <w:rFonts w:eastAsia="Batang" w:cs="Times New Roman"/>
          <w:szCs w:val="24"/>
          <w:lang w:val="es-ES_tradnl" w:eastAsia="es-ES"/>
        </w:rPr>
      </w:pPr>
    </w:p>
    <w:p w14:paraId="4E2B2800" w14:textId="68AA7505" w:rsidR="002B7D08" w:rsidRDefault="002B7D08" w:rsidP="00B80209">
      <w:pPr>
        <w:rPr>
          <w:rFonts w:eastAsia="Batang" w:cs="Times New Roman"/>
          <w:szCs w:val="24"/>
          <w:lang w:val="es-ES_tradnl" w:eastAsia="es-ES"/>
        </w:rPr>
      </w:pPr>
    </w:p>
    <w:p w14:paraId="6E5825AB" w14:textId="46A9FDB1" w:rsidR="002B7D08" w:rsidRDefault="002B7D08" w:rsidP="00B80209">
      <w:pPr>
        <w:rPr>
          <w:rFonts w:eastAsia="Batang" w:cs="Times New Roman"/>
          <w:szCs w:val="24"/>
          <w:lang w:val="es-ES_tradnl" w:eastAsia="es-ES"/>
        </w:rPr>
      </w:pPr>
    </w:p>
    <w:p w14:paraId="027650C9" w14:textId="77777777" w:rsidR="002B7D08" w:rsidRDefault="002B7D08" w:rsidP="00B80209">
      <w:pPr>
        <w:rPr>
          <w:rFonts w:eastAsia="Batang" w:cs="Times New Roman"/>
          <w:szCs w:val="24"/>
          <w:lang w:val="es-ES_tradnl" w:eastAsia="es-ES"/>
        </w:rPr>
      </w:pPr>
    </w:p>
    <w:p w14:paraId="1F9A55ED" w14:textId="7629C462" w:rsidR="00D4176D" w:rsidRPr="008E3E27" w:rsidRDefault="008E3E27" w:rsidP="00B80209">
      <w:pPr>
        <w:rPr>
          <w:rFonts w:eastAsia="Batang" w:cs="Times New Roman"/>
          <w:szCs w:val="24"/>
          <w:lang w:val="es-ES_tradnl" w:eastAsia="es-ES"/>
        </w:rPr>
      </w:pPr>
      <w:r w:rsidRPr="008E3E27">
        <w:rPr>
          <w:rFonts w:eastAsia="Batang" w:cs="Times New Roman"/>
          <w:szCs w:val="24"/>
          <w:lang w:val="es-ES_tradnl" w:eastAsia="es-ES"/>
        </w:rPr>
        <w:t xml:space="preserve">Los principales saldos con empresas del Grupo S.E.P.I., al 31 de diciembre de </w:t>
      </w:r>
      <w:r w:rsidRPr="009A736F">
        <w:rPr>
          <w:rFonts w:eastAsia="Batang" w:cs="Times New Roman"/>
          <w:szCs w:val="24"/>
          <w:lang w:val="es-ES_tradnl" w:eastAsia="es-ES"/>
        </w:rPr>
        <w:t>20</w:t>
      </w:r>
      <w:r w:rsidR="00AC22C1" w:rsidRPr="009A736F">
        <w:rPr>
          <w:rFonts w:eastAsia="Batang" w:cs="Times New Roman"/>
          <w:szCs w:val="24"/>
          <w:lang w:val="es-ES_tradnl" w:eastAsia="es-ES"/>
        </w:rPr>
        <w:t>20</w:t>
      </w:r>
      <w:r w:rsidRPr="009A736F">
        <w:rPr>
          <w:rFonts w:eastAsia="Batang" w:cs="Times New Roman"/>
          <w:szCs w:val="24"/>
          <w:lang w:val="es-ES_tradnl" w:eastAsia="es-ES"/>
        </w:rPr>
        <w:t xml:space="preserve"> y 20</w:t>
      </w:r>
      <w:r w:rsidR="00AC22C1" w:rsidRPr="009A736F">
        <w:rPr>
          <w:rFonts w:eastAsia="Batang" w:cs="Times New Roman"/>
          <w:szCs w:val="24"/>
          <w:lang w:val="es-ES_tradnl" w:eastAsia="es-ES"/>
        </w:rPr>
        <w:t>19</w:t>
      </w:r>
      <w:r w:rsidRPr="009A736F">
        <w:rPr>
          <w:rFonts w:eastAsia="Batang" w:cs="Times New Roman"/>
          <w:szCs w:val="24"/>
          <w:lang w:val="es-ES_tradnl" w:eastAsia="es-ES"/>
        </w:rPr>
        <w:t xml:space="preserve"> son las siguientes en euros:</w:t>
      </w:r>
    </w:p>
    <w:tbl>
      <w:tblPr>
        <w:tblW w:w="7812" w:type="dxa"/>
        <w:tblInd w:w="572" w:type="dxa"/>
        <w:tblLayout w:type="fixed"/>
        <w:tblCellMar>
          <w:left w:w="70" w:type="dxa"/>
          <w:right w:w="70" w:type="dxa"/>
        </w:tblCellMar>
        <w:tblLook w:val="04A0" w:firstRow="1" w:lastRow="0" w:firstColumn="1" w:lastColumn="0" w:noHBand="0" w:noVBand="1"/>
      </w:tblPr>
      <w:tblGrid>
        <w:gridCol w:w="4116"/>
        <w:gridCol w:w="1848"/>
        <w:gridCol w:w="1848"/>
      </w:tblGrid>
      <w:tr w:rsidR="002B7D08" w:rsidRPr="008E3E27" w14:paraId="5EFB5E70" w14:textId="77777777" w:rsidTr="00AE2A1E">
        <w:trPr>
          <w:trHeight w:val="255"/>
        </w:trPr>
        <w:tc>
          <w:tcPr>
            <w:tcW w:w="4116" w:type="dxa"/>
            <w:tcBorders>
              <w:right w:val="single" w:sz="4" w:space="0" w:color="auto"/>
            </w:tcBorders>
            <w:shd w:val="clear" w:color="000000" w:fill="FFFFFF"/>
          </w:tcPr>
          <w:p w14:paraId="0794AD9A" w14:textId="77777777" w:rsidR="002B7D08" w:rsidRPr="008E3E27" w:rsidRDefault="002B7D08" w:rsidP="009859A3">
            <w:pPr>
              <w:spacing w:after="0" w:line="240" w:lineRule="auto"/>
              <w:rPr>
                <w:rFonts w:eastAsia="Times New Roman" w:cs="Times New Roman"/>
                <w:color w:val="000000"/>
                <w:szCs w:val="24"/>
                <w:lang w:eastAsia="es-ES"/>
              </w:rPr>
            </w:pPr>
          </w:p>
        </w:tc>
        <w:tc>
          <w:tcPr>
            <w:tcW w:w="3696" w:type="dxa"/>
            <w:gridSpan w:val="2"/>
            <w:tcBorders>
              <w:top w:val="single" w:sz="4" w:space="0" w:color="auto"/>
              <w:bottom w:val="single" w:sz="4" w:space="0" w:color="auto"/>
              <w:right w:val="single" w:sz="4" w:space="0" w:color="auto"/>
            </w:tcBorders>
            <w:shd w:val="clear" w:color="000000" w:fill="FFFFFF"/>
          </w:tcPr>
          <w:p w14:paraId="0F663491" w14:textId="1AA82A16" w:rsidR="002B7D08" w:rsidRPr="002B7D08" w:rsidRDefault="002B7D08" w:rsidP="009859A3">
            <w:pPr>
              <w:spacing w:after="0" w:line="240" w:lineRule="auto"/>
              <w:jc w:val="center"/>
              <w:rPr>
                <w:rFonts w:eastAsia="Times New Roman" w:cs="Times New Roman"/>
                <w:bCs/>
                <w:color w:val="000000"/>
                <w:szCs w:val="24"/>
                <w:lang w:eastAsia="es-ES"/>
              </w:rPr>
            </w:pPr>
            <w:r w:rsidRPr="002B7D08">
              <w:rPr>
                <w:rFonts w:eastAsia="Times New Roman" w:cs="Times New Roman"/>
                <w:bCs/>
                <w:color w:val="000000"/>
                <w:szCs w:val="24"/>
                <w:lang w:eastAsia="es-ES"/>
              </w:rPr>
              <w:t>Euros</w:t>
            </w:r>
          </w:p>
        </w:tc>
      </w:tr>
      <w:tr w:rsidR="009859A3" w:rsidRPr="008E3E27" w14:paraId="3153DBD2" w14:textId="77777777" w:rsidTr="002B7D08">
        <w:trPr>
          <w:trHeight w:val="255"/>
        </w:trPr>
        <w:tc>
          <w:tcPr>
            <w:tcW w:w="4116" w:type="dxa"/>
            <w:tcBorders>
              <w:bottom w:val="single" w:sz="4" w:space="0" w:color="auto"/>
              <w:right w:val="single" w:sz="4" w:space="0" w:color="auto"/>
            </w:tcBorders>
            <w:shd w:val="clear" w:color="000000" w:fill="FFFFFF"/>
          </w:tcPr>
          <w:p w14:paraId="7EDF3B1D" w14:textId="77777777" w:rsidR="009859A3" w:rsidRPr="008E3E27" w:rsidRDefault="009859A3" w:rsidP="009859A3">
            <w:pPr>
              <w:spacing w:after="0" w:line="240" w:lineRule="auto"/>
              <w:rPr>
                <w:rFonts w:eastAsia="Times New Roman" w:cs="Times New Roman"/>
                <w:color w:val="000000"/>
                <w:szCs w:val="24"/>
                <w:lang w:eastAsia="es-ES"/>
              </w:rPr>
            </w:pPr>
          </w:p>
        </w:tc>
        <w:tc>
          <w:tcPr>
            <w:tcW w:w="1848" w:type="dxa"/>
            <w:tcBorders>
              <w:top w:val="single" w:sz="4" w:space="0" w:color="auto"/>
              <w:bottom w:val="single" w:sz="4" w:space="0" w:color="auto"/>
              <w:right w:val="single" w:sz="4" w:space="0" w:color="auto"/>
            </w:tcBorders>
            <w:shd w:val="clear" w:color="000000" w:fill="FFFFFF"/>
          </w:tcPr>
          <w:p w14:paraId="54EBB574" w14:textId="638BD419" w:rsidR="009859A3" w:rsidRPr="008E3E27" w:rsidRDefault="009859A3" w:rsidP="009859A3">
            <w:pPr>
              <w:spacing w:after="0" w:line="240" w:lineRule="auto"/>
              <w:jc w:val="center"/>
              <w:rPr>
                <w:rFonts w:eastAsia="Times New Roman" w:cs="Times New Roman"/>
                <w:b/>
                <w:color w:val="000000"/>
                <w:szCs w:val="24"/>
                <w:lang w:eastAsia="es-ES"/>
              </w:rPr>
            </w:pPr>
            <w:r>
              <w:rPr>
                <w:rFonts w:eastAsia="Times New Roman" w:cs="Times New Roman"/>
                <w:b/>
                <w:color w:val="000000"/>
                <w:szCs w:val="24"/>
                <w:lang w:eastAsia="es-ES"/>
              </w:rPr>
              <w:t>2020</w:t>
            </w:r>
          </w:p>
        </w:tc>
        <w:tc>
          <w:tcPr>
            <w:tcW w:w="1848" w:type="dxa"/>
            <w:tcBorders>
              <w:top w:val="single" w:sz="4" w:space="0" w:color="auto"/>
              <w:bottom w:val="single" w:sz="4" w:space="0" w:color="auto"/>
              <w:right w:val="single" w:sz="4" w:space="0" w:color="auto"/>
            </w:tcBorders>
            <w:shd w:val="clear" w:color="000000" w:fill="FFFFFF"/>
          </w:tcPr>
          <w:p w14:paraId="19A8C01A" w14:textId="11F27DBF" w:rsidR="009859A3" w:rsidRPr="008E3E27" w:rsidRDefault="009859A3" w:rsidP="009859A3">
            <w:pPr>
              <w:spacing w:after="0" w:line="240" w:lineRule="auto"/>
              <w:jc w:val="center"/>
              <w:rPr>
                <w:rFonts w:eastAsia="Times New Roman" w:cs="Times New Roman"/>
                <w:b/>
                <w:color w:val="000000"/>
                <w:szCs w:val="24"/>
                <w:lang w:eastAsia="es-ES"/>
              </w:rPr>
            </w:pPr>
            <w:r>
              <w:rPr>
                <w:rFonts w:eastAsia="Times New Roman" w:cs="Times New Roman"/>
                <w:b/>
                <w:color w:val="000000"/>
                <w:szCs w:val="24"/>
                <w:lang w:eastAsia="es-ES"/>
              </w:rPr>
              <w:t>2019</w:t>
            </w:r>
          </w:p>
        </w:tc>
      </w:tr>
      <w:tr w:rsidR="009859A3" w:rsidRPr="008E3E27" w14:paraId="69919711" w14:textId="77777777" w:rsidTr="009859A3">
        <w:trPr>
          <w:trHeight w:val="255"/>
        </w:trPr>
        <w:tc>
          <w:tcPr>
            <w:tcW w:w="4116" w:type="dxa"/>
            <w:tcBorders>
              <w:top w:val="single" w:sz="4" w:space="0" w:color="auto"/>
              <w:left w:val="single" w:sz="4" w:space="0" w:color="auto"/>
              <w:bottom w:val="nil"/>
              <w:right w:val="single" w:sz="4" w:space="0" w:color="auto"/>
            </w:tcBorders>
            <w:shd w:val="clear" w:color="000000" w:fill="FFFFFF"/>
          </w:tcPr>
          <w:p w14:paraId="7924C2DB" w14:textId="77777777" w:rsidR="009859A3" w:rsidRPr="008E3E27" w:rsidRDefault="009859A3" w:rsidP="009859A3">
            <w:pPr>
              <w:spacing w:after="0" w:line="240" w:lineRule="auto"/>
              <w:rPr>
                <w:rFonts w:eastAsia="Times New Roman" w:cs="Times New Roman"/>
                <w:bCs/>
                <w:color w:val="000000"/>
                <w:szCs w:val="24"/>
                <w:lang w:eastAsia="es-ES"/>
              </w:rPr>
            </w:pPr>
            <w:r w:rsidRPr="008E3E27">
              <w:rPr>
                <w:rFonts w:eastAsia="Times New Roman" w:cs="Times New Roman"/>
                <w:b/>
                <w:bCs/>
                <w:color w:val="000000"/>
                <w:szCs w:val="24"/>
                <w:lang w:eastAsia="es-ES"/>
              </w:rPr>
              <w:t xml:space="preserve">Créditos a empresas del grupo </w:t>
            </w:r>
            <w:r w:rsidRPr="008E3E27">
              <w:rPr>
                <w:rFonts w:eastAsia="Times New Roman" w:cs="Times New Roman"/>
                <w:bCs/>
                <w:color w:val="000000"/>
                <w:szCs w:val="24"/>
                <w:lang w:eastAsia="es-ES"/>
              </w:rPr>
              <w:t>(véase Nota 5.2.2)</w:t>
            </w:r>
          </w:p>
        </w:tc>
        <w:tc>
          <w:tcPr>
            <w:tcW w:w="1848" w:type="dxa"/>
            <w:tcBorders>
              <w:top w:val="single" w:sz="4" w:space="0" w:color="auto"/>
              <w:left w:val="single" w:sz="4" w:space="0" w:color="auto"/>
              <w:bottom w:val="nil"/>
              <w:right w:val="single" w:sz="4" w:space="0" w:color="auto"/>
            </w:tcBorders>
            <w:shd w:val="clear" w:color="000000" w:fill="FFFFFF"/>
          </w:tcPr>
          <w:p w14:paraId="125434E9" w14:textId="77777777" w:rsidR="009859A3" w:rsidRPr="008E3E27" w:rsidRDefault="009859A3" w:rsidP="009859A3">
            <w:pPr>
              <w:spacing w:after="0" w:line="240" w:lineRule="auto"/>
              <w:rPr>
                <w:rFonts w:eastAsia="Times New Roman" w:cs="Times New Roman"/>
                <w:szCs w:val="24"/>
                <w:highlight w:val="yellow"/>
                <w:lang w:eastAsia="es-ES"/>
              </w:rPr>
            </w:pPr>
          </w:p>
        </w:tc>
        <w:tc>
          <w:tcPr>
            <w:tcW w:w="1848" w:type="dxa"/>
            <w:tcBorders>
              <w:top w:val="single" w:sz="4" w:space="0" w:color="auto"/>
              <w:left w:val="single" w:sz="4" w:space="0" w:color="auto"/>
              <w:bottom w:val="nil"/>
              <w:right w:val="single" w:sz="4" w:space="0" w:color="auto"/>
            </w:tcBorders>
            <w:shd w:val="clear" w:color="000000" w:fill="FFFFFF"/>
          </w:tcPr>
          <w:p w14:paraId="64CC2776" w14:textId="77777777" w:rsidR="009859A3" w:rsidRPr="008E3E27" w:rsidRDefault="009859A3" w:rsidP="009859A3">
            <w:pPr>
              <w:spacing w:after="0" w:line="240" w:lineRule="auto"/>
              <w:rPr>
                <w:rFonts w:eastAsia="Times New Roman" w:cs="Times New Roman"/>
                <w:szCs w:val="24"/>
                <w:highlight w:val="yellow"/>
                <w:lang w:eastAsia="es-ES"/>
              </w:rPr>
            </w:pPr>
          </w:p>
        </w:tc>
      </w:tr>
      <w:tr w:rsidR="009859A3" w:rsidRPr="008E3E27" w14:paraId="20FF74FF" w14:textId="77777777" w:rsidTr="007F3818">
        <w:trPr>
          <w:trHeight w:val="255"/>
        </w:trPr>
        <w:tc>
          <w:tcPr>
            <w:tcW w:w="4116" w:type="dxa"/>
            <w:tcBorders>
              <w:top w:val="nil"/>
              <w:left w:val="single" w:sz="4" w:space="0" w:color="auto"/>
              <w:bottom w:val="single" w:sz="4" w:space="0" w:color="auto"/>
              <w:right w:val="single" w:sz="4" w:space="0" w:color="auto"/>
            </w:tcBorders>
            <w:shd w:val="clear" w:color="000000" w:fill="FFFFFF"/>
            <w:vAlign w:val="bottom"/>
          </w:tcPr>
          <w:p w14:paraId="115D5459" w14:textId="77777777" w:rsidR="009859A3" w:rsidRPr="008E3E27" w:rsidRDefault="009859A3" w:rsidP="009859A3">
            <w:pPr>
              <w:spacing w:after="0" w:line="240" w:lineRule="auto"/>
              <w:rPr>
                <w:rFonts w:eastAsia="Times New Roman" w:cs="Times New Roman"/>
                <w:color w:val="000000"/>
                <w:szCs w:val="24"/>
                <w:lang w:eastAsia="es-ES"/>
              </w:rPr>
            </w:pPr>
            <w:r w:rsidRPr="008E3E27">
              <w:rPr>
                <w:rFonts w:eastAsia="Times New Roman" w:cs="Times New Roman"/>
                <w:color w:val="000000"/>
                <w:szCs w:val="24"/>
                <w:lang w:eastAsia="es-ES"/>
              </w:rPr>
              <w:t>Crédito – S.E.P.I.</w:t>
            </w:r>
          </w:p>
        </w:tc>
        <w:tc>
          <w:tcPr>
            <w:tcW w:w="1848" w:type="dxa"/>
            <w:tcBorders>
              <w:top w:val="nil"/>
              <w:left w:val="single" w:sz="4" w:space="0" w:color="auto"/>
              <w:bottom w:val="single" w:sz="4" w:space="0" w:color="auto"/>
              <w:right w:val="single" w:sz="4" w:space="0" w:color="auto"/>
            </w:tcBorders>
            <w:shd w:val="clear" w:color="000000" w:fill="FFFFFF"/>
          </w:tcPr>
          <w:p w14:paraId="4479A6C2" w14:textId="48B8D329" w:rsidR="009859A3" w:rsidRDefault="00F01AE1" w:rsidP="009859A3">
            <w:pPr>
              <w:spacing w:after="0" w:line="240" w:lineRule="auto"/>
              <w:jc w:val="right"/>
              <w:rPr>
                <w:rFonts w:eastAsia="Batang" w:cs="Times New Roman"/>
                <w:szCs w:val="24"/>
                <w:lang w:val="es-ES_tradnl" w:eastAsia="es-ES"/>
              </w:rPr>
            </w:pPr>
            <w:r>
              <w:rPr>
                <w:rFonts w:eastAsia="Batang" w:cs="Times New Roman"/>
                <w:szCs w:val="24"/>
                <w:lang w:val="es-ES_tradnl" w:eastAsia="es-ES"/>
              </w:rPr>
              <w:t>8.567.479,79</w:t>
            </w:r>
          </w:p>
        </w:tc>
        <w:tc>
          <w:tcPr>
            <w:tcW w:w="1848" w:type="dxa"/>
            <w:tcBorders>
              <w:top w:val="nil"/>
              <w:left w:val="single" w:sz="4" w:space="0" w:color="auto"/>
              <w:bottom w:val="single" w:sz="4" w:space="0" w:color="auto"/>
              <w:right w:val="single" w:sz="4" w:space="0" w:color="auto"/>
            </w:tcBorders>
            <w:shd w:val="clear" w:color="000000" w:fill="FFFFFF"/>
          </w:tcPr>
          <w:p w14:paraId="76259A29" w14:textId="1ECECC6D" w:rsidR="009859A3" w:rsidRDefault="009859A3" w:rsidP="009859A3">
            <w:pPr>
              <w:spacing w:after="0" w:line="240" w:lineRule="auto"/>
              <w:jc w:val="right"/>
              <w:rPr>
                <w:rFonts w:eastAsia="Batang" w:cs="Times New Roman"/>
                <w:szCs w:val="24"/>
                <w:lang w:val="es-ES_tradnl" w:eastAsia="es-ES"/>
              </w:rPr>
            </w:pPr>
            <w:r>
              <w:rPr>
                <w:rFonts w:eastAsia="Batang" w:cs="Times New Roman"/>
                <w:szCs w:val="24"/>
                <w:lang w:val="es-ES_tradnl" w:eastAsia="es-ES"/>
              </w:rPr>
              <w:t>8.189.109,06</w:t>
            </w:r>
          </w:p>
        </w:tc>
      </w:tr>
      <w:tr w:rsidR="009859A3" w:rsidRPr="008E3E27" w14:paraId="3762C052" w14:textId="77777777" w:rsidTr="007F3818">
        <w:trPr>
          <w:trHeight w:val="255"/>
        </w:trPr>
        <w:tc>
          <w:tcPr>
            <w:tcW w:w="4116" w:type="dxa"/>
            <w:tcBorders>
              <w:top w:val="single" w:sz="4" w:space="0" w:color="auto"/>
              <w:left w:val="single" w:sz="4" w:space="0" w:color="auto"/>
              <w:bottom w:val="single" w:sz="4" w:space="0" w:color="auto"/>
              <w:right w:val="single" w:sz="4" w:space="0" w:color="auto"/>
            </w:tcBorders>
            <w:shd w:val="clear" w:color="000000" w:fill="FFFFFF"/>
            <w:vAlign w:val="bottom"/>
          </w:tcPr>
          <w:p w14:paraId="047C0246" w14:textId="77777777" w:rsidR="009859A3" w:rsidRPr="008E3E27" w:rsidRDefault="009859A3" w:rsidP="009859A3">
            <w:pPr>
              <w:spacing w:after="0" w:line="240" w:lineRule="auto"/>
              <w:rPr>
                <w:rFonts w:eastAsia="Times New Roman" w:cs="Times New Roman"/>
                <w:color w:val="000000"/>
                <w:szCs w:val="24"/>
                <w:lang w:eastAsia="es-ES"/>
              </w:rPr>
            </w:pPr>
            <w:r w:rsidRPr="008E3E27">
              <w:rPr>
                <w:rFonts w:eastAsia="Times New Roman" w:cs="Times New Roman"/>
                <w:b/>
                <w:bCs/>
                <w:color w:val="000000"/>
                <w:szCs w:val="24"/>
                <w:lang w:eastAsia="es-ES"/>
              </w:rPr>
              <w:t>Total</w:t>
            </w:r>
          </w:p>
        </w:tc>
        <w:tc>
          <w:tcPr>
            <w:tcW w:w="1848" w:type="dxa"/>
            <w:tcBorders>
              <w:top w:val="single" w:sz="4" w:space="0" w:color="auto"/>
              <w:left w:val="single" w:sz="4" w:space="0" w:color="auto"/>
              <w:bottom w:val="single" w:sz="4" w:space="0" w:color="auto"/>
              <w:right w:val="single" w:sz="4" w:space="0" w:color="auto"/>
            </w:tcBorders>
            <w:shd w:val="clear" w:color="000000" w:fill="FFFFFF"/>
          </w:tcPr>
          <w:p w14:paraId="246FFBD7" w14:textId="1E5D8B4D" w:rsidR="009859A3" w:rsidRDefault="00F01AE1" w:rsidP="009859A3">
            <w:pPr>
              <w:spacing w:after="0" w:line="240" w:lineRule="auto"/>
              <w:jc w:val="right"/>
              <w:rPr>
                <w:rFonts w:eastAsia="Times New Roman" w:cs="Times New Roman"/>
                <w:b/>
                <w:bCs/>
                <w:szCs w:val="24"/>
                <w:lang w:eastAsia="es-ES"/>
              </w:rPr>
            </w:pPr>
            <w:r>
              <w:rPr>
                <w:rFonts w:eastAsia="Times New Roman" w:cs="Times New Roman"/>
                <w:b/>
                <w:bCs/>
                <w:szCs w:val="24"/>
                <w:lang w:eastAsia="es-ES"/>
              </w:rPr>
              <w:t>8.</w:t>
            </w:r>
            <w:r w:rsidR="006C6A70">
              <w:rPr>
                <w:rFonts w:eastAsia="Times New Roman" w:cs="Times New Roman"/>
                <w:b/>
                <w:bCs/>
                <w:szCs w:val="24"/>
                <w:lang w:eastAsia="es-ES"/>
              </w:rPr>
              <w:t>567.479,79</w:t>
            </w:r>
          </w:p>
        </w:tc>
        <w:tc>
          <w:tcPr>
            <w:tcW w:w="1848" w:type="dxa"/>
            <w:tcBorders>
              <w:top w:val="single" w:sz="4" w:space="0" w:color="auto"/>
              <w:left w:val="single" w:sz="4" w:space="0" w:color="auto"/>
              <w:bottom w:val="single" w:sz="4" w:space="0" w:color="auto"/>
              <w:right w:val="single" w:sz="4" w:space="0" w:color="auto"/>
            </w:tcBorders>
            <w:shd w:val="clear" w:color="000000" w:fill="FFFFFF"/>
          </w:tcPr>
          <w:p w14:paraId="2E62ADA1" w14:textId="7F03CBE0" w:rsidR="009859A3" w:rsidRDefault="009859A3" w:rsidP="009859A3">
            <w:pPr>
              <w:spacing w:after="0" w:line="240" w:lineRule="auto"/>
              <w:jc w:val="right"/>
              <w:rPr>
                <w:rFonts w:eastAsia="Times New Roman" w:cs="Times New Roman"/>
                <w:b/>
                <w:bCs/>
                <w:szCs w:val="24"/>
                <w:lang w:eastAsia="es-ES"/>
              </w:rPr>
            </w:pPr>
            <w:r>
              <w:rPr>
                <w:rFonts w:eastAsia="Times New Roman" w:cs="Times New Roman"/>
                <w:b/>
                <w:bCs/>
                <w:szCs w:val="24"/>
                <w:lang w:eastAsia="es-ES"/>
              </w:rPr>
              <w:t>8.189.109,06</w:t>
            </w:r>
          </w:p>
        </w:tc>
      </w:tr>
      <w:tr w:rsidR="009859A3" w:rsidRPr="0012043B" w14:paraId="53B2618C" w14:textId="77777777" w:rsidTr="009859A3">
        <w:trPr>
          <w:trHeight w:val="255"/>
        </w:trPr>
        <w:tc>
          <w:tcPr>
            <w:tcW w:w="4116" w:type="dxa"/>
            <w:tcBorders>
              <w:top w:val="nil"/>
              <w:left w:val="single" w:sz="4" w:space="0" w:color="auto"/>
              <w:right w:val="single" w:sz="4" w:space="0" w:color="auto"/>
            </w:tcBorders>
            <w:shd w:val="clear" w:color="000000" w:fill="FFFFFF"/>
          </w:tcPr>
          <w:p w14:paraId="52376F5E" w14:textId="51729B10" w:rsidR="009859A3" w:rsidRPr="007F3818" w:rsidRDefault="009859A3" w:rsidP="007F3818">
            <w:pPr>
              <w:spacing w:after="0" w:line="240" w:lineRule="auto"/>
              <w:rPr>
                <w:rFonts w:eastAsia="Times New Roman" w:cs="Times New Roman"/>
                <w:b/>
                <w:bCs/>
                <w:color w:val="000000"/>
                <w:szCs w:val="24"/>
                <w:lang w:eastAsia="es-ES"/>
              </w:rPr>
            </w:pPr>
            <w:r w:rsidRPr="008E3E27">
              <w:rPr>
                <w:rFonts w:eastAsia="Times New Roman" w:cs="Times New Roman"/>
                <w:b/>
                <w:bCs/>
                <w:color w:val="000000"/>
                <w:szCs w:val="24"/>
                <w:lang w:eastAsia="es-ES"/>
              </w:rPr>
              <w:t>Deudas con empresas del grupo</w:t>
            </w:r>
          </w:p>
        </w:tc>
        <w:tc>
          <w:tcPr>
            <w:tcW w:w="1848" w:type="dxa"/>
            <w:tcBorders>
              <w:top w:val="nil"/>
              <w:left w:val="single" w:sz="4" w:space="0" w:color="auto"/>
              <w:right w:val="single" w:sz="4" w:space="0" w:color="auto"/>
            </w:tcBorders>
            <w:shd w:val="clear" w:color="000000" w:fill="FFFFFF"/>
          </w:tcPr>
          <w:p w14:paraId="3FC36C03" w14:textId="0299A4A4" w:rsidR="009859A3" w:rsidRPr="007F3818" w:rsidRDefault="009859A3" w:rsidP="007F3818">
            <w:pPr>
              <w:spacing w:after="0" w:line="240" w:lineRule="auto"/>
              <w:rPr>
                <w:rFonts w:eastAsia="Times New Roman" w:cs="Times New Roman"/>
                <w:szCs w:val="24"/>
                <w:highlight w:val="yellow"/>
                <w:lang w:eastAsia="es-ES"/>
              </w:rPr>
            </w:pPr>
          </w:p>
        </w:tc>
        <w:tc>
          <w:tcPr>
            <w:tcW w:w="1848" w:type="dxa"/>
            <w:tcBorders>
              <w:top w:val="nil"/>
              <w:left w:val="single" w:sz="4" w:space="0" w:color="auto"/>
              <w:right w:val="single" w:sz="4" w:space="0" w:color="auto"/>
            </w:tcBorders>
            <w:shd w:val="clear" w:color="000000" w:fill="FFFFFF"/>
          </w:tcPr>
          <w:p w14:paraId="4C783374" w14:textId="5B4DC9D2" w:rsidR="009859A3" w:rsidRPr="00D00E85" w:rsidRDefault="009859A3" w:rsidP="007F3818">
            <w:pPr>
              <w:spacing w:after="0" w:line="240" w:lineRule="auto"/>
              <w:rPr>
                <w:rFonts w:eastAsia="Times New Roman" w:cs="Times New Roman"/>
                <w:szCs w:val="24"/>
                <w:lang w:eastAsia="es-ES"/>
              </w:rPr>
            </w:pPr>
          </w:p>
        </w:tc>
      </w:tr>
      <w:tr w:rsidR="009859A3" w:rsidRPr="008E3E27" w14:paraId="280B1D22" w14:textId="77777777" w:rsidTr="009859A3">
        <w:trPr>
          <w:trHeight w:val="255"/>
        </w:trPr>
        <w:tc>
          <w:tcPr>
            <w:tcW w:w="4116" w:type="dxa"/>
            <w:tcBorders>
              <w:top w:val="nil"/>
              <w:left w:val="single" w:sz="4" w:space="0" w:color="auto"/>
              <w:bottom w:val="nil"/>
              <w:right w:val="single" w:sz="4" w:space="0" w:color="auto"/>
            </w:tcBorders>
            <w:shd w:val="clear" w:color="000000" w:fill="FFFFFF"/>
            <w:vAlign w:val="bottom"/>
          </w:tcPr>
          <w:p w14:paraId="7D550B8D" w14:textId="7C237431" w:rsidR="009859A3" w:rsidRPr="008E3E27" w:rsidRDefault="009859A3" w:rsidP="009859A3">
            <w:pPr>
              <w:spacing w:after="0" w:line="240" w:lineRule="auto"/>
              <w:rPr>
                <w:rFonts w:eastAsia="Times New Roman" w:cs="Times New Roman"/>
                <w:color w:val="000000"/>
                <w:szCs w:val="24"/>
                <w:lang w:eastAsia="es-ES"/>
              </w:rPr>
            </w:pPr>
            <w:r w:rsidRPr="008E3E27">
              <w:rPr>
                <w:rFonts w:eastAsia="Times New Roman" w:cs="Times New Roman"/>
                <w:color w:val="000000"/>
                <w:szCs w:val="24"/>
                <w:lang w:eastAsia="es-ES"/>
              </w:rPr>
              <w:t>S.E.P.I acreedora por recompra de crédito fiscal (Nota 7</w:t>
            </w:r>
            <w:r>
              <w:rPr>
                <w:rFonts w:eastAsia="Times New Roman" w:cs="Times New Roman"/>
                <w:color w:val="000000"/>
                <w:szCs w:val="24"/>
                <w:lang w:eastAsia="es-ES"/>
              </w:rPr>
              <w:t>.</w:t>
            </w:r>
            <w:r w:rsidR="002B7D08">
              <w:rPr>
                <w:rFonts w:eastAsia="Times New Roman" w:cs="Times New Roman"/>
                <w:color w:val="000000"/>
                <w:szCs w:val="24"/>
                <w:lang w:eastAsia="es-ES"/>
              </w:rPr>
              <w:t>2</w:t>
            </w:r>
            <w:r w:rsidRPr="008E3E27">
              <w:rPr>
                <w:rFonts w:eastAsia="Times New Roman" w:cs="Times New Roman"/>
                <w:color w:val="000000"/>
                <w:szCs w:val="24"/>
                <w:lang w:eastAsia="es-ES"/>
              </w:rPr>
              <w:t>)</w:t>
            </w:r>
          </w:p>
        </w:tc>
        <w:tc>
          <w:tcPr>
            <w:tcW w:w="1848" w:type="dxa"/>
            <w:tcBorders>
              <w:top w:val="nil"/>
              <w:left w:val="single" w:sz="4" w:space="0" w:color="auto"/>
              <w:bottom w:val="nil"/>
              <w:right w:val="single" w:sz="4" w:space="0" w:color="auto"/>
            </w:tcBorders>
            <w:shd w:val="clear" w:color="000000" w:fill="FFFFFF"/>
          </w:tcPr>
          <w:p w14:paraId="42A91C4E" w14:textId="77777777" w:rsidR="009859A3" w:rsidRDefault="009859A3" w:rsidP="009859A3">
            <w:pPr>
              <w:spacing w:after="0" w:line="240" w:lineRule="auto"/>
              <w:jc w:val="right"/>
              <w:rPr>
                <w:rFonts w:eastAsia="Times New Roman" w:cs="Times New Roman"/>
                <w:szCs w:val="24"/>
                <w:lang w:eastAsia="es-ES"/>
              </w:rPr>
            </w:pPr>
          </w:p>
          <w:p w14:paraId="6CAFAE61" w14:textId="295E8A31" w:rsidR="009859A3" w:rsidRPr="00FA44A6" w:rsidRDefault="009859A3" w:rsidP="009859A3">
            <w:pPr>
              <w:spacing w:after="0" w:line="240" w:lineRule="auto"/>
              <w:jc w:val="right"/>
              <w:rPr>
                <w:rFonts w:eastAsia="Times New Roman" w:cs="Times New Roman"/>
                <w:szCs w:val="24"/>
                <w:lang w:eastAsia="es-ES"/>
              </w:rPr>
            </w:pPr>
            <w:r>
              <w:rPr>
                <w:rFonts w:eastAsia="Times New Roman" w:cs="Times New Roman"/>
                <w:szCs w:val="24"/>
                <w:lang w:eastAsia="es-ES"/>
              </w:rPr>
              <w:t>(</w:t>
            </w:r>
            <w:r w:rsidR="006C6A70">
              <w:rPr>
                <w:rFonts w:eastAsia="Times New Roman" w:cs="Times New Roman"/>
                <w:szCs w:val="24"/>
                <w:lang w:eastAsia="es-ES"/>
              </w:rPr>
              <w:t>1.072.297,24</w:t>
            </w:r>
            <w:r>
              <w:rPr>
                <w:rFonts w:eastAsia="Times New Roman" w:cs="Times New Roman"/>
                <w:szCs w:val="24"/>
                <w:lang w:eastAsia="es-ES"/>
              </w:rPr>
              <w:t>)</w:t>
            </w:r>
          </w:p>
        </w:tc>
        <w:tc>
          <w:tcPr>
            <w:tcW w:w="1848" w:type="dxa"/>
            <w:tcBorders>
              <w:top w:val="nil"/>
              <w:left w:val="single" w:sz="4" w:space="0" w:color="auto"/>
              <w:bottom w:val="nil"/>
              <w:right w:val="single" w:sz="4" w:space="0" w:color="auto"/>
            </w:tcBorders>
            <w:shd w:val="clear" w:color="000000" w:fill="FFFFFF"/>
          </w:tcPr>
          <w:p w14:paraId="2400331D" w14:textId="77777777" w:rsidR="009859A3" w:rsidRDefault="009859A3" w:rsidP="009859A3">
            <w:pPr>
              <w:spacing w:after="0" w:line="240" w:lineRule="auto"/>
              <w:jc w:val="right"/>
              <w:rPr>
                <w:rFonts w:eastAsia="Times New Roman" w:cs="Times New Roman"/>
                <w:szCs w:val="24"/>
                <w:lang w:eastAsia="es-ES"/>
              </w:rPr>
            </w:pPr>
          </w:p>
          <w:p w14:paraId="4A07A58D" w14:textId="36B59410" w:rsidR="009859A3" w:rsidRDefault="009859A3" w:rsidP="009859A3">
            <w:pPr>
              <w:spacing w:after="0" w:line="240" w:lineRule="auto"/>
              <w:jc w:val="right"/>
              <w:rPr>
                <w:rFonts w:eastAsia="Times New Roman" w:cs="Times New Roman"/>
                <w:szCs w:val="24"/>
                <w:lang w:eastAsia="es-ES"/>
              </w:rPr>
            </w:pPr>
            <w:r>
              <w:rPr>
                <w:rFonts w:eastAsia="Times New Roman" w:cs="Times New Roman"/>
                <w:szCs w:val="24"/>
                <w:lang w:eastAsia="es-ES"/>
              </w:rPr>
              <w:t>(1.243.305,67)</w:t>
            </w:r>
          </w:p>
        </w:tc>
      </w:tr>
      <w:tr w:rsidR="009859A3" w:rsidRPr="008E3E27" w14:paraId="1398490E" w14:textId="77777777" w:rsidTr="002B7D08">
        <w:trPr>
          <w:trHeight w:val="255"/>
        </w:trPr>
        <w:tc>
          <w:tcPr>
            <w:tcW w:w="4116" w:type="dxa"/>
            <w:tcBorders>
              <w:left w:val="single" w:sz="4" w:space="0" w:color="auto"/>
              <w:bottom w:val="single" w:sz="4" w:space="0" w:color="auto"/>
              <w:right w:val="single" w:sz="4" w:space="0" w:color="auto"/>
            </w:tcBorders>
            <w:shd w:val="clear" w:color="000000" w:fill="FFFFFF"/>
            <w:vAlign w:val="bottom"/>
          </w:tcPr>
          <w:p w14:paraId="4D6979D7" w14:textId="62ECD6A2" w:rsidR="009859A3" w:rsidRPr="008E3E27" w:rsidRDefault="009859A3" w:rsidP="009859A3">
            <w:pPr>
              <w:spacing w:after="0" w:line="240" w:lineRule="auto"/>
              <w:rPr>
                <w:rFonts w:eastAsia="Times New Roman" w:cs="Times New Roman"/>
                <w:b/>
                <w:bCs/>
                <w:color w:val="000000"/>
                <w:szCs w:val="24"/>
                <w:lang w:eastAsia="es-ES"/>
              </w:rPr>
            </w:pPr>
            <w:r w:rsidRPr="008E3E27">
              <w:rPr>
                <w:rFonts w:eastAsia="Times New Roman" w:cs="Times New Roman"/>
                <w:color w:val="000000"/>
                <w:szCs w:val="24"/>
                <w:lang w:eastAsia="es-ES"/>
              </w:rPr>
              <w:t xml:space="preserve">S.E.P.I </w:t>
            </w:r>
            <w:r w:rsidR="00CA1A65" w:rsidRPr="008E3E27">
              <w:rPr>
                <w:rFonts w:eastAsia="Times New Roman" w:cs="Times New Roman"/>
                <w:color w:val="000000"/>
                <w:szCs w:val="24"/>
                <w:lang w:eastAsia="es-ES"/>
              </w:rPr>
              <w:t xml:space="preserve">acreedora </w:t>
            </w:r>
            <w:r w:rsidR="00CA1A65">
              <w:rPr>
                <w:rFonts w:eastAsia="Times New Roman" w:cs="Times New Roman"/>
                <w:color w:val="000000"/>
                <w:szCs w:val="24"/>
                <w:lang w:eastAsia="es-ES"/>
              </w:rPr>
              <w:t>por</w:t>
            </w:r>
            <w:r>
              <w:rPr>
                <w:rFonts w:eastAsia="Times New Roman" w:cs="Times New Roman"/>
                <w:color w:val="000000"/>
                <w:szCs w:val="24"/>
                <w:lang w:eastAsia="es-ES"/>
              </w:rPr>
              <w:t xml:space="preserve"> </w:t>
            </w:r>
            <w:r w:rsidRPr="00A60E1F">
              <w:rPr>
                <w:rFonts w:eastAsia="Times New Roman" w:cs="Times New Roman"/>
                <w:bCs/>
                <w:color w:val="000000"/>
                <w:szCs w:val="24"/>
                <w:lang w:eastAsia="es-ES"/>
              </w:rPr>
              <w:t>cuota impuesto de Sociedades (Nota 7</w:t>
            </w:r>
            <w:r>
              <w:rPr>
                <w:rFonts w:eastAsia="Times New Roman" w:cs="Times New Roman"/>
                <w:bCs/>
                <w:color w:val="000000"/>
                <w:szCs w:val="24"/>
                <w:lang w:eastAsia="es-ES"/>
              </w:rPr>
              <w:t>.</w:t>
            </w:r>
            <w:r w:rsidR="002B7D08">
              <w:rPr>
                <w:rFonts w:eastAsia="Times New Roman" w:cs="Times New Roman"/>
                <w:bCs/>
                <w:color w:val="000000"/>
                <w:szCs w:val="24"/>
                <w:lang w:eastAsia="es-ES"/>
              </w:rPr>
              <w:t>2</w:t>
            </w:r>
            <w:r w:rsidRPr="00A60E1F">
              <w:rPr>
                <w:rFonts w:eastAsia="Times New Roman" w:cs="Times New Roman"/>
                <w:bCs/>
                <w:color w:val="000000"/>
                <w:szCs w:val="24"/>
                <w:lang w:eastAsia="es-ES"/>
              </w:rPr>
              <w:t>)</w:t>
            </w:r>
          </w:p>
        </w:tc>
        <w:tc>
          <w:tcPr>
            <w:tcW w:w="1848" w:type="dxa"/>
            <w:tcBorders>
              <w:left w:val="single" w:sz="4" w:space="0" w:color="auto"/>
              <w:bottom w:val="single" w:sz="4" w:space="0" w:color="auto"/>
              <w:right w:val="single" w:sz="4" w:space="0" w:color="auto"/>
            </w:tcBorders>
            <w:shd w:val="clear" w:color="000000" w:fill="FFFFFF"/>
          </w:tcPr>
          <w:p w14:paraId="62741ACC" w14:textId="77777777" w:rsidR="009859A3" w:rsidRPr="00B10AE4" w:rsidRDefault="009859A3" w:rsidP="009859A3">
            <w:pPr>
              <w:spacing w:after="0" w:line="240" w:lineRule="auto"/>
              <w:jc w:val="right"/>
              <w:rPr>
                <w:rFonts w:eastAsia="Times New Roman" w:cs="Times New Roman"/>
                <w:bCs/>
                <w:szCs w:val="24"/>
                <w:highlight w:val="magenta"/>
                <w:lang w:eastAsia="es-ES"/>
              </w:rPr>
            </w:pPr>
          </w:p>
          <w:p w14:paraId="1B350151" w14:textId="0688B321" w:rsidR="009859A3" w:rsidRPr="00B10AE4" w:rsidRDefault="009859A3" w:rsidP="009859A3">
            <w:pPr>
              <w:spacing w:after="0" w:line="240" w:lineRule="auto"/>
              <w:jc w:val="right"/>
              <w:rPr>
                <w:rFonts w:eastAsia="Times New Roman" w:cs="Times New Roman"/>
                <w:bCs/>
                <w:szCs w:val="24"/>
                <w:highlight w:val="magenta"/>
                <w:lang w:eastAsia="es-ES"/>
              </w:rPr>
            </w:pPr>
            <w:r w:rsidRPr="0012043B">
              <w:rPr>
                <w:rFonts w:eastAsia="Times New Roman" w:cs="Times New Roman"/>
                <w:bCs/>
                <w:szCs w:val="24"/>
                <w:lang w:eastAsia="es-ES"/>
              </w:rPr>
              <w:t>(</w:t>
            </w:r>
            <w:r>
              <w:rPr>
                <w:rFonts w:eastAsia="Times New Roman" w:cs="Times New Roman"/>
                <w:bCs/>
                <w:szCs w:val="24"/>
                <w:lang w:eastAsia="es-ES"/>
              </w:rPr>
              <w:t>2.</w:t>
            </w:r>
            <w:r w:rsidR="006C6A70">
              <w:rPr>
                <w:rFonts w:eastAsia="Times New Roman" w:cs="Times New Roman"/>
                <w:bCs/>
                <w:szCs w:val="24"/>
                <w:lang w:eastAsia="es-ES"/>
              </w:rPr>
              <w:t>845.761,87</w:t>
            </w:r>
            <w:r w:rsidRPr="0012043B">
              <w:rPr>
                <w:rFonts w:eastAsia="Times New Roman" w:cs="Times New Roman"/>
                <w:bCs/>
                <w:szCs w:val="24"/>
                <w:lang w:eastAsia="es-ES"/>
              </w:rPr>
              <w:t>)</w:t>
            </w:r>
          </w:p>
        </w:tc>
        <w:tc>
          <w:tcPr>
            <w:tcW w:w="1848" w:type="dxa"/>
            <w:tcBorders>
              <w:left w:val="single" w:sz="4" w:space="0" w:color="auto"/>
              <w:bottom w:val="single" w:sz="4" w:space="0" w:color="auto"/>
              <w:right w:val="single" w:sz="4" w:space="0" w:color="auto"/>
            </w:tcBorders>
            <w:shd w:val="clear" w:color="000000" w:fill="FFFFFF"/>
          </w:tcPr>
          <w:p w14:paraId="6EFDE9F3" w14:textId="77777777" w:rsidR="009859A3" w:rsidRPr="00B10AE4" w:rsidRDefault="009859A3" w:rsidP="009859A3">
            <w:pPr>
              <w:spacing w:after="0" w:line="240" w:lineRule="auto"/>
              <w:jc w:val="right"/>
              <w:rPr>
                <w:rFonts w:eastAsia="Times New Roman" w:cs="Times New Roman"/>
                <w:bCs/>
                <w:szCs w:val="24"/>
                <w:highlight w:val="magenta"/>
                <w:lang w:eastAsia="es-ES"/>
              </w:rPr>
            </w:pPr>
          </w:p>
          <w:p w14:paraId="5F89A9DB" w14:textId="1E04FBB3" w:rsidR="009859A3" w:rsidRPr="00B10AE4" w:rsidRDefault="009859A3" w:rsidP="009859A3">
            <w:pPr>
              <w:spacing w:after="0" w:line="240" w:lineRule="auto"/>
              <w:jc w:val="right"/>
              <w:rPr>
                <w:rFonts w:eastAsia="Times New Roman" w:cs="Times New Roman"/>
                <w:bCs/>
                <w:szCs w:val="24"/>
                <w:highlight w:val="magenta"/>
                <w:lang w:eastAsia="es-ES"/>
              </w:rPr>
            </w:pPr>
            <w:r w:rsidRPr="0012043B">
              <w:rPr>
                <w:rFonts w:eastAsia="Times New Roman" w:cs="Times New Roman"/>
                <w:bCs/>
                <w:szCs w:val="24"/>
                <w:lang w:eastAsia="es-ES"/>
              </w:rPr>
              <w:t>(</w:t>
            </w:r>
            <w:r>
              <w:rPr>
                <w:rFonts w:eastAsia="Times New Roman" w:cs="Times New Roman"/>
                <w:bCs/>
                <w:szCs w:val="24"/>
                <w:lang w:eastAsia="es-ES"/>
              </w:rPr>
              <w:t>2.956.126,47</w:t>
            </w:r>
            <w:r w:rsidRPr="0012043B">
              <w:rPr>
                <w:rFonts w:eastAsia="Times New Roman" w:cs="Times New Roman"/>
                <w:bCs/>
                <w:szCs w:val="24"/>
                <w:lang w:eastAsia="es-ES"/>
              </w:rPr>
              <w:t>)</w:t>
            </w:r>
          </w:p>
        </w:tc>
      </w:tr>
      <w:tr w:rsidR="009859A3" w:rsidRPr="008E3E27" w14:paraId="2F2B331F" w14:textId="77777777" w:rsidTr="002B7D08">
        <w:trPr>
          <w:trHeight w:val="255"/>
        </w:trPr>
        <w:tc>
          <w:tcPr>
            <w:tcW w:w="4116" w:type="dxa"/>
            <w:tcBorders>
              <w:top w:val="single" w:sz="4" w:space="0" w:color="auto"/>
              <w:left w:val="single" w:sz="4" w:space="0" w:color="auto"/>
              <w:bottom w:val="single" w:sz="4" w:space="0" w:color="auto"/>
              <w:right w:val="single" w:sz="4" w:space="0" w:color="auto"/>
            </w:tcBorders>
            <w:shd w:val="clear" w:color="000000" w:fill="FFFFFF"/>
            <w:vAlign w:val="bottom"/>
          </w:tcPr>
          <w:p w14:paraId="54375D40" w14:textId="77777777" w:rsidR="009859A3" w:rsidRPr="008E3E27" w:rsidRDefault="009859A3" w:rsidP="009859A3">
            <w:pPr>
              <w:spacing w:after="0" w:line="240" w:lineRule="auto"/>
              <w:rPr>
                <w:rFonts w:eastAsia="Times New Roman" w:cs="Times New Roman"/>
                <w:b/>
                <w:bCs/>
                <w:color w:val="000000"/>
                <w:szCs w:val="24"/>
                <w:lang w:eastAsia="es-ES"/>
              </w:rPr>
            </w:pPr>
            <w:r w:rsidRPr="008E3E27">
              <w:rPr>
                <w:rFonts w:eastAsia="Times New Roman" w:cs="Times New Roman"/>
                <w:b/>
                <w:bCs/>
                <w:color w:val="000000"/>
                <w:szCs w:val="24"/>
                <w:lang w:eastAsia="es-ES"/>
              </w:rPr>
              <w:t>Total</w:t>
            </w:r>
          </w:p>
        </w:tc>
        <w:tc>
          <w:tcPr>
            <w:tcW w:w="1848" w:type="dxa"/>
            <w:tcBorders>
              <w:top w:val="single" w:sz="4" w:space="0" w:color="auto"/>
              <w:left w:val="single" w:sz="4" w:space="0" w:color="auto"/>
              <w:bottom w:val="single" w:sz="4" w:space="0" w:color="auto"/>
              <w:right w:val="single" w:sz="4" w:space="0" w:color="auto"/>
            </w:tcBorders>
            <w:shd w:val="clear" w:color="000000" w:fill="FFFFFF"/>
          </w:tcPr>
          <w:p w14:paraId="6B013ECF" w14:textId="7C1AC2CF" w:rsidR="009859A3" w:rsidRPr="00B10AE4" w:rsidRDefault="009859A3" w:rsidP="009859A3">
            <w:pPr>
              <w:spacing w:after="0" w:line="240" w:lineRule="auto"/>
              <w:jc w:val="right"/>
              <w:rPr>
                <w:rFonts w:eastAsia="Batang" w:cs="Times New Roman"/>
                <w:b/>
                <w:szCs w:val="24"/>
                <w:highlight w:val="magenta"/>
                <w:lang w:val="es-ES_tradnl" w:eastAsia="es-ES"/>
              </w:rPr>
            </w:pPr>
            <w:r w:rsidRPr="00627E87">
              <w:rPr>
                <w:rFonts w:eastAsia="Batang" w:cs="Times New Roman"/>
                <w:b/>
                <w:szCs w:val="24"/>
                <w:lang w:val="es-ES_tradnl" w:eastAsia="es-ES"/>
              </w:rPr>
              <w:t>(</w:t>
            </w:r>
            <w:r w:rsidR="006C6A70">
              <w:rPr>
                <w:rFonts w:eastAsia="Batang" w:cs="Times New Roman"/>
                <w:b/>
                <w:szCs w:val="24"/>
                <w:lang w:val="es-ES_tradnl" w:eastAsia="es-ES"/>
              </w:rPr>
              <w:t>3.918.059,11</w:t>
            </w:r>
            <w:r w:rsidRPr="00627E87">
              <w:rPr>
                <w:rFonts w:eastAsia="Batang" w:cs="Times New Roman"/>
                <w:b/>
                <w:szCs w:val="24"/>
                <w:lang w:val="es-ES_tradnl" w:eastAsia="es-ES"/>
              </w:rPr>
              <w:t>)</w:t>
            </w:r>
          </w:p>
        </w:tc>
        <w:tc>
          <w:tcPr>
            <w:tcW w:w="1848" w:type="dxa"/>
            <w:tcBorders>
              <w:top w:val="single" w:sz="4" w:space="0" w:color="auto"/>
              <w:left w:val="single" w:sz="4" w:space="0" w:color="auto"/>
              <w:bottom w:val="single" w:sz="4" w:space="0" w:color="auto"/>
              <w:right w:val="single" w:sz="4" w:space="0" w:color="auto"/>
            </w:tcBorders>
            <w:shd w:val="clear" w:color="000000" w:fill="FFFFFF"/>
          </w:tcPr>
          <w:p w14:paraId="013A24D7" w14:textId="4038D593" w:rsidR="009859A3" w:rsidRPr="00627E87" w:rsidRDefault="009859A3" w:rsidP="009859A3">
            <w:pPr>
              <w:spacing w:after="0" w:line="240" w:lineRule="auto"/>
              <w:jc w:val="right"/>
              <w:rPr>
                <w:rFonts w:eastAsia="Batang" w:cs="Times New Roman"/>
                <w:b/>
                <w:szCs w:val="24"/>
                <w:lang w:val="es-ES_tradnl" w:eastAsia="es-ES"/>
              </w:rPr>
            </w:pPr>
            <w:r w:rsidRPr="00627E87">
              <w:rPr>
                <w:rFonts w:eastAsia="Batang" w:cs="Times New Roman"/>
                <w:b/>
                <w:szCs w:val="24"/>
                <w:lang w:val="es-ES_tradnl" w:eastAsia="es-ES"/>
              </w:rPr>
              <w:t>(</w:t>
            </w:r>
            <w:r>
              <w:rPr>
                <w:rFonts w:eastAsia="Batang" w:cs="Times New Roman"/>
                <w:b/>
                <w:szCs w:val="24"/>
                <w:lang w:val="es-ES_tradnl" w:eastAsia="es-ES"/>
              </w:rPr>
              <w:t>4.199.432,14</w:t>
            </w:r>
            <w:r w:rsidRPr="00627E87">
              <w:rPr>
                <w:rFonts w:eastAsia="Batang" w:cs="Times New Roman"/>
                <w:b/>
                <w:szCs w:val="24"/>
                <w:lang w:val="es-ES_tradnl" w:eastAsia="es-ES"/>
              </w:rPr>
              <w:t>)</w:t>
            </w:r>
          </w:p>
        </w:tc>
      </w:tr>
    </w:tbl>
    <w:p w14:paraId="2754F2B2" w14:textId="77777777" w:rsid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C7AFFE2" w14:textId="7E58EC2E" w:rsidR="00AE7FF0" w:rsidRDefault="00AE7FF0"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4699B25" w14:textId="77777777" w:rsidR="00C84039" w:rsidRDefault="00C84039"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DB8E6F7" w14:textId="5937DA91" w:rsidR="008E3E27" w:rsidRPr="008E3E27" w:rsidRDefault="008E3E27" w:rsidP="004E7EBD">
      <w:pPr>
        <w:numPr>
          <w:ilvl w:val="0"/>
          <w:numId w:val="1"/>
        </w:numPr>
        <w:tabs>
          <w:tab w:val="num" w:pos="540"/>
        </w:tabs>
        <w:overflowPunct w:val="0"/>
        <w:autoSpaceDE w:val="0"/>
        <w:autoSpaceDN w:val="0"/>
        <w:adjustRightInd w:val="0"/>
        <w:spacing w:after="0" w:line="240" w:lineRule="auto"/>
        <w:ind w:left="540" w:right="1025" w:hanging="540"/>
        <w:textAlignment w:val="baseline"/>
        <w:outlineLvl w:val="0"/>
        <w:rPr>
          <w:rFonts w:eastAsia="Batang" w:cs="Times New Roman"/>
          <w:b/>
          <w:bCs/>
          <w:szCs w:val="24"/>
          <w:u w:val="single"/>
          <w:lang w:val="es-ES_tradnl" w:eastAsia="es-ES"/>
        </w:rPr>
      </w:pPr>
      <w:r w:rsidRPr="008E3E27">
        <w:rPr>
          <w:rFonts w:eastAsia="Batang" w:cs="Times New Roman"/>
          <w:b/>
          <w:bCs/>
          <w:szCs w:val="24"/>
          <w:u w:val="single"/>
          <w:lang w:val="es-ES_tradnl" w:eastAsia="es-ES"/>
        </w:rPr>
        <w:t>OTRA INFORMACIÓN</w:t>
      </w:r>
    </w:p>
    <w:p w14:paraId="39818E56" w14:textId="77777777" w:rsidR="008E3E27" w:rsidRPr="008E3E27" w:rsidRDefault="008E3E27" w:rsidP="008E3E27">
      <w:pPr>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A3E55C8" w14:textId="77777777" w:rsidR="008E3E27" w:rsidRPr="008E3E27" w:rsidRDefault="008E3E27" w:rsidP="008E3E27">
      <w:pPr>
        <w:keepNext/>
        <w:numPr>
          <w:ilvl w:val="0"/>
          <w:numId w:val="12"/>
        </w:numPr>
        <w:tabs>
          <w:tab w:val="num" w:pos="993"/>
        </w:tabs>
        <w:spacing w:after="0" w:line="240" w:lineRule="auto"/>
        <w:ind w:left="993" w:right="-63" w:hanging="426"/>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Órgano de Administración</w:t>
      </w:r>
    </w:p>
    <w:p w14:paraId="046D99A6"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BAC2D6C" w14:textId="77777777" w:rsid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Durante el presente ejercicio, al igual que en el precedente, la Sociedad no ha satisfecho a su Administrador Único sueldo, remuneración o dieta alguna por el desempeño de las funciones propias del mismo, no existiendo anticipos ni créditos concedidos, ni obligaciones contraídas en materia de pensiones ni seguros de vida.</w:t>
      </w:r>
    </w:p>
    <w:p w14:paraId="17578A50" w14:textId="77777777" w:rsidR="008C4641" w:rsidRDefault="008C4641"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1461DF21" w14:textId="5EF4E28C" w:rsidR="008C4641" w:rsidRPr="008E3E27" w:rsidRDefault="008C4641"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37914">
        <w:rPr>
          <w:rFonts w:eastAsia="Batang" w:cs="Times New Roman"/>
          <w:szCs w:val="24"/>
          <w:lang w:val="es-ES_tradnl" w:eastAsia="es-ES"/>
        </w:rPr>
        <w:t>Las cantidades satisfechas en concepto de primas por responsabilidad civil de los adm</w:t>
      </w:r>
      <w:r w:rsidR="00C3341B">
        <w:rPr>
          <w:rFonts w:eastAsia="Batang" w:cs="Times New Roman"/>
          <w:szCs w:val="24"/>
          <w:lang w:val="es-ES_tradnl" w:eastAsia="es-ES"/>
        </w:rPr>
        <w:t>inistradores en el ejercicio 2020</w:t>
      </w:r>
      <w:r w:rsidRPr="00837914">
        <w:rPr>
          <w:rFonts w:eastAsia="Batang" w:cs="Times New Roman"/>
          <w:szCs w:val="24"/>
          <w:lang w:val="es-ES_tradnl" w:eastAsia="es-ES"/>
        </w:rPr>
        <w:t xml:space="preserve"> ascienden a </w:t>
      </w:r>
      <w:r w:rsidR="00C3341B">
        <w:rPr>
          <w:rFonts w:eastAsia="Batang" w:cs="Times New Roman"/>
          <w:szCs w:val="24"/>
          <w:lang w:val="es-ES_tradnl" w:eastAsia="es-ES"/>
        </w:rPr>
        <w:t>5.357,26</w:t>
      </w:r>
      <w:r w:rsidR="00956A10">
        <w:rPr>
          <w:rFonts w:eastAsia="Batang" w:cs="Times New Roman"/>
          <w:szCs w:val="24"/>
          <w:lang w:val="es-ES_tradnl" w:eastAsia="es-ES"/>
        </w:rPr>
        <w:t xml:space="preserve"> euros</w:t>
      </w:r>
      <w:r w:rsidR="007E23FE">
        <w:rPr>
          <w:rFonts w:eastAsia="Batang" w:cs="Times New Roman"/>
          <w:szCs w:val="24"/>
          <w:lang w:val="es-ES_tradnl" w:eastAsia="es-ES"/>
        </w:rPr>
        <w:t xml:space="preserve"> (</w:t>
      </w:r>
      <w:r w:rsidR="00C3341B">
        <w:rPr>
          <w:rFonts w:eastAsia="Batang" w:cs="Times New Roman"/>
          <w:szCs w:val="24"/>
          <w:lang w:val="es-ES_tradnl" w:eastAsia="es-ES"/>
        </w:rPr>
        <w:t>4.792,32 euros en 2019</w:t>
      </w:r>
      <w:r w:rsidR="008236AA">
        <w:rPr>
          <w:rFonts w:eastAsia="Batang" w:cs="Times New Roman"/>
          <w:szCs w:val="24"/>
          <w:lang w:val="es-ES_tradnl" w:eastAsia="es-ES"/>
        </w:rPr>
        <w:t>)</w:t>
      </w:r>
      <w:r w:rsidR="007E23FE">
        <w:rPr>
          <w:rFonts w:eastAsia="Batang" w:cs="Times New Roman"/>
          <w:szCs w:val="24"/>
          <w:lang w:val="es-ES_tradnl" w:eastAsia="es-ES"/>
        </w:rPr>
        <w:t>.</w:t>
      </w:r>
    </w:p>
    <w:p w14:paraId="09B9B415" w14:textId="04E03474" w:rsidR="00F90F97" w:rsidRDefault="00F90F97" w:rsidP="00BF49B9">
      <w:pPr>
        <w:spacing w:after="0" w:line="240" w:lineRule="auto"/>
        <w:rPr>
          <w:lang w:val="es-ES_tradnl"/>
        </w:rPr>
      </w:pPr>
    </w:p>
    <w:p w14:paraId="284902E9" w14:textId="77777777" w:rsidR="00C84039" w:rsidRPr="00C3341B" w:rsidRDefault="00C84039" w:rsidP="00BF49B9">
      <w:pPr>
        <w:spacing w:after="0" w:line="240" w:lineRule="auto"/>
        <w:rPr>
          <w:lang w:val="es-ES_tradnl"/>
        </w:rPr>
      </w:pPr>
    </w:p>
    <w:p w14:paraId="343E3ADC" w14:textId="77777777" w:rsidR="008E3E27" w:rsidRPr="008E3E27" w:rsidRDefault="008E3E27" w:rsidP="008E3E27">
      <w:pPr>
        <w:keepNext/>
        <w:numPr>
          <w:ilvl w:val="0"/>
          <w:numId w:val="12"/>
        </w:numPr>
        <w:tabs>
          <w:tab w:val="clear" w:pos="1080"/>
          <w:tab w:val="num" w:pos="993"/>
        </w:tabs>
        <w:spacing w:after="0" w:line="240" w:lineRule="auto"/>
        <w:ind w:left="993" w:right="-63" w:hanging="426"/>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Auditoría de Cuentas Anuales</w:t>
      </w:r>
    </w:p>
    <w:p w14:paraId="5264CA5C"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FB40D59" w14:textId="74C6ACCD"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242D7D">
        <w:rPr>
          <w:rFonts w:eastAsia="Batang" w:cs="Times New Roman"/>
          <w:szCs w:val="24"/>
          <w:lang w:val="es-ES_tradnl" w:eastAsia="es-ES"/>
        </w:rPr>
        <w:t>Los honorarios relativos a servicios de auditoría de cuentas de la Sociedad c</w:t>
      </w:r>
      <w:r w:rsidR="00BF2961">
        <w:rPr>
          <w:rFonts w:eastAsia="Batang" w:cs="Times New Roman"/>
          <w:szCs w:val="24"/>
          <w:lang w:val="es-ES_tradnl" w:eastAsia="es-ES"/>
        </w:rPr>
        <w:t>orrespondientes al ejercicio 2020</w:t>
      </w:r>
      <w:r w:rsidRPr="00242D7D">
        <w:rPr>
          <w:rFonts w:eastAsia="Batang" w:cs="Times New Roman"/>
          <w:szCs w:val="24"/>
          <w:lang w:val="es-ES_tradnl" w:eastAsia="es-ES"/>
        </w:rPr>
        <w:t xml:space="preserve"> han ascendido a 3.0</w:t>
      </w:r>
      <w:r w:rsidR="00C84039">
        <w:rPr>
          <w:rFonts w:eastAsia="Batang" w:cs="Times New Roman"/>
          <w:szCs w:val="24"/>
          <w:lang w:val="es-ES_tradnl" w:eastAsia="es-ES"/>
        </w:rPr>
        <w:t>6</w:t>
      </w:r>
      <w:r w:rsidRPr="00242D7D">
        <w:rPr>
          <w:rFonts w:eastAsia="Batang" w:cs="Times New Roman"/>
          <w:szCs w:val="24"/>
          <w:lang w:val="es-ES_tradnl" w:eastAsia="es-ES"/>
        </w:rPr>
        <w:t>0 euros (3.</w:t>
      </w:r>
      <w:r w:rsidR="00C84039">
        <w:rPr>
          <w:rFonts w:eastAsia="Batang" w:cs="Times New Roman"/>
          <w:szCs w:val="24"/>
          <w:lang w:val="es-ES_tradnl" w:eastAsia="es-ES"/>
        </w:rPr>
        <w:t>4</w:t>
      </w:r>
      <w:r w:rsidRPr="00242D7D">
        <w:rPr>
          <w:rFonts w:eastAsia="Batang" w:cs="Times New Roman"/>
          <w:szCs w:val="24"/>
          <w:lang w:val="es-ES_tradnl" w:eastAsia="es-ES"/>
        </w:rPr>
        <w:t>00 euros en 201</w:t>
      </w:r>
      <w:r w:rsidR="00BF2961">
        <w:rPr>
          <w:rFonts w:eastAsia="Batang" w:cs="Times New Roman"/>
          <w:szCs w:val="24"/>
          <w:lang w:val="es-ES_tradnl" w:eastAsia="es-ES"/>
        </w:rPr>
        <w:t>9</w:t>
      </w:r>
      <w:r w:rsidRPr="00242D7D">
        <w:rPr>
          <w:rFonts w:eastAsia="Batang" w:cs="Times New Roman"/>
          <w:szCs w:val="24"/>
          <w:lang w:val="es-ES_tradnl" w:eastAsia="es-ES"/>
        </w:rPr>
        <w:t>).</w:t>
      </w:r>
    </w:p>
    <w:p w14:paraId="39711F0C"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43C0D1D2" w14:textId="66E38460"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No han existido otros trabajos encargados, a la misma u otras firmas de auditoría, distintos de los relativos a la audito</w:t>
      </w:r>
      <w:r w:rsidR="00A3126F">
        <w:rPr>
          <w:rFonts w:eastAsia="Batang" w:cs="Times New Roman"/>
          <w:szCs w:val="24"/>
          <w:lang w:val="es-ES_tradnl" w:eastAsia="es-ES"/>
        </w:rPr>
        <w:t>ría de cuentas del ejercicio 2020</w:t>
      </w:r>
      <w:r w:rsidRPr="008E3E27">
        <w:rPr>
          <w:rFonts w:eastAsia="Batang" w:cs="Times New Roman"/>
          <w:szCs w:val="24"/>
          <w:lang w:val="es-ES_tradnl" w:eastAsia="es-ES"/>
        </w:rPr>
        <w:t>.</w:t>
      </w:r>
      <w:r w:rsidR="007E23FE">
        <w:rPr>
          <w:rFonts w:eastAsia="Batang" w:cs="Times New Roman"/>
          <w:szCs w:val="24"/>
          <w:lang w:val="es-ES_tradnl" w:eastAsia="es-ES"/>
        </w:rPr>
        <w:t xml:space="preserve"> Tampoco en 201</w:t>
      </w:r>
      <w:r w:rsidR="00A3126F">
        <w:rPr>
          <w:rFonts w:eastAsia="Batang" w:cs="Times New Roman"/>
          <w:szCs w:val="24"/>
          <w:lang w:val="es-ES_tradnl" w:eastAsia="es-ES"/>
        </w:rPr>
        <w:t>9</w:t>
      </w:r>
      <w:r w:rsidR="007E23FE">
        <w:rPr>
          <w:rFonts w:eastAsia="Batang" w:cs="Times New Roman"/>
          <w:szCs w:val="24"/>
          <w:lang w:val="es-ES_tradnl" w:eastAsia="es-ES"/>
        </w:rPr>
        <w:t>.</w:t>
      </w:r>
    </w:p>
    <w:p w14:paraId="61601850" w14:textId="14016409" w:rsidR="007066D2" w:rsidRDefault="007066D2" w:rsidP="00613FAA">
      <w:pPr>
        <w:rPr>
          <w:rFonts w:eastAsia="Batang" w:cs="Times New Roman"/>
          <w:szCs w:val="24"/>
          <w:lang w:val="es-ES_tradnl" w:eastAsia="es-ES"/>
        </w:rPr>
      </w:pPr>
    </w:p>
    <w:p w14:paraId="14677A60" w14:textId="60CE64D4" w:rsidR="00C84039" w:rsidRDefault="00C84039" w:rsidP="00613FAA">
      <w:pPr>
        <w:rPr>
          <w:rFonts w:eastAsia="Batang" w:cs="Times New Roman"/>
          <w:szCs w:val="24"/>
          <w:lang w:val="es-ES_tradnl" w:eastAsia="es-ES"/>
        </w:rPr>
      </w:pPr>
    </w:p>
    <w:p w14:paraId="68FEFC71" w14:textId="19277CAE" w:rsidR="00C84039" w:rsidRDefault="00C84039" w:rsidP="00613FAA">
      <w:pPr>
        <w:rPr>
          <w:rFonts w:eastAsia="Batang" w:cs="Times New Roman"/>
          <w:szCs w:val="24"/>
          <w:lang w:val="es-ES_tradnl" w:eastAsia="es-ES"/>
        </w:rPr>
      </w:pPr>
    </w:p>
    <w:p w14:paraId="1AE6DBD5" w14:textId="258C2BD5" w:rsidR="00C84039" w:rsidRDefault="00C84039" w:rsidP="00613FAA">
      <w:pPr>
        <w:rPr>
          <w:rFonts w:eastAsia="Batang" w:cs="Times New Roman"/>
          <w:szCs w:val="24"/>
          <w:lang w:val="es-ES_tradnl" w:eastAsia="es-ES"/>
        </w:rPr>
      </w:pPr>
    </w:p>
    <w:p w14:paraId="0D7A5FBA" w14:textId="77777777" w:rsidR="00C84039" w:rsidRPr="008E3E27" w:rsidRDefault="00C84039" w:rsidP="00613FAA">
      <w:pPr>
        <w:rPr>
          <w:rFonts w:eastAsia="Batang" w:cs="Times New Roman"/>
          <w:szCs w:val="24"/>
          <w:lang w:val="es-ES_tradnl" w:eastAsia="es-ES"/>
        </w:rPr>
      </w:pPr>
    </w:p>
    <w:p w14:paraId="7328E255" w14:textId="77777777" w:rsidR="008E3E27" w:rsidRPr="008E3E27" w:rsidRDefault="008E3E27" w:rsidP="008E3E27">
      <w:pPr>
        <w:keepNext/>
        <w:numPr>
          <w:ilvl w:val="0"/>
          <w:numId w:val="12"/>
        </w:numPr>
        <w:tabs>
          <w:tab w:val="clear" w:pos="1080"/>
          <w:tab w:val="num" w:pos="993"/>
        </w:tabs>
        <w:spacing w:after="0" w:line="240" w:lineRule="auto"/>
        <w:ind w:left="993" w:right="-63" w:hanging="426"/>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Información sobre Medioambiente</w:t>
      </w:r>
    </w:p>
    <w:p w14:paraId="027FBB36"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93DC27B"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 xml:space="preserve">Dada la actividad a la que se dedica </w:t>
      </w:r>
      <w:smartTag w:uri="urn:schemas-microsoft-com:office:smarttags" w:element="PersonName">
        <w:smartTagPr>
          <w:attr w:name="ProductID" w:val="la Sociedad"/>
        </w:smartTagPr>
        <w:r w:rsidRPr="008E3E27">
          <w:rPr>
            <w:rFonts w:eastAsia="Batang" w:cs="Times New Roman"/>
            <w:szCs w:val="24"/>
            <w:lang w:val="es-ES_tradnl" w:eastAsia="es-ES"/>
          </w:rPr>
          <w:t>la Sociedad</w:t>
        </w:r>
      </w:smartTag>
      <w:r w:rsidRPr="008E3E27">
        <w:rPr>
          <w:rFonts w:eastAsia="Batang" w:cs="Times New Roman"/>
          <w:szCs w:val="24"/>
          <w:lang w:val="es-ES_tradnl" w:eastAsia="es-ES"/>
        </w:rPr>
        <w:t>, ésta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de las cuentas anuales respecto a información de cuestiones medioambientales.</w:t>
      </w:r>
    </w:p>
    <w:p w14:paraId="515AEDE8"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865CC8D" w14:textId="77777777" w:rsidR="008E3E27" w:rsidRPr="008E3E27" w:rsidRDefault="008E3E27" w:rsidP="008E3E27">
      <w:pPr>
        <w:keepNext/>
        <w:numPr>
          <w:ilvl w:val="0"/>
          <w:numId w:val="12"/>
        </w:numPr>
        <w:tabs>
          <w:tab w:val="clear" w:pos="1080"/>
          <w:tab w:val="num" w:pos="993"/>
        </w:tabs>
        <w:spacing w:after="0" w:line="240" w:lineRule="auto"/>
        <w:ind w:left="993" w:right="-63" w:hanging="426"/>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Conflicto de intereses</w:t>
      </w:r>
    </w:p>
    <w:p w14:paraId="64650CF2"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13AE83F2" w14:textId="77777777" w:rsidR="005C4692"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8E3E27">
        <w:rPr>
          <w:rFonts w:eastAsia="Batang" w:cs="Times New Roman"/>
          <w:szCs w:val="24"/>
          <w:lang w:val="es-ES_tradnl" w:eastAsia="es-ES"/>
        </w:rPr>
        <w:t xml:space="preserve">En cumplimiento de lo establecido en el artículo 228 y siguientes de </w:t>
      </w:r>
      <w:smartTag w:uri="urn:schemas-microsoft-com:office:smarttags" w:element="PersonName">
        <w:smartTagPr>
          <w:attr w:name="ProductID" w:val="la Ley"/>
        </w:smartTagPr>
        <w:r w:rsidRPr="008E3E27">
          <w:rPr>
            <w:rFonts w:eastAsia="Batang" w:cs="Times New Roman"/>
            <w:szCs w:val="24"/>
            <w:lang w:val="es-ES_tradnl" w:eastAsia="es-ES"/>
          </w:rPr>
          <w:t>la Ley</w:t>
        </w:r>
      </w:smartTag>
      <w:r w:rsidRPr="008E3E27">
        <w:rPr>
          <w:rFonts w:eastAsia="Batang" w:cs="Times New Roman"/>
          <w:szCs w:val="24"/>
          <w:lang w:val="es-ES_tradnl" w:eastAsia="es-ES"/>
        </w:rPr>
        <w:t xml:space="preserve"> de Sociedades de Capital, introducido por el Real Decreto Legislativo 1/2010 de 2 de julio y modificado por </w:t>
      </w:r>
      <w:smartTag w:uri="urn:schemas-microsoft-com:office:smarttags" w:element="PersonName">
        <w:smartTagPr>
          <w:attr w:name="ProductID" w:val="la Ley"/>
        </w:smartTagPr>
        <w:r w:rsidRPr="008E3E27">
          <w:rPr>
            <w:rFonts w:eastAsia="Batang" w:cs="Times New Roman"/>
            <w:szCs w:val="24"/>
            <w:lang w:val="es-ES_tradnl" w:eastAsia="es-ES"/>
          </w:rPr>
          <w:t>la Ley</w:t>
        </w:r>
      </w:smartTag>
      <w:r w:rsidRPr="008E3E27">
        <w:rPr>
          <w:rFonts w:eastAsia="Batang" w:cs="Times New Roman"/>
          <w:szCs w:val="24"/>
          <w:lang w:val="es-ES_tradnl" w:eastAsia="es-ES"/>
        </w:rPr>
        <w:t xml:space="preserve"> 31/2014, de 3 de diciembre, por la que se modifica </w:t>
      </w:r>
      <w:smartTag w:uri="urn:schemas-microsoft-com:office:smarttags" w:element="PersonName">
        <w:smartTagPr>
          <w:attr w:name="ProductID" w:val="la Ley"/>
        </w:smartTagPr>
        <w:r w:rsidRPr="008E3E27">
          <w:rPr>
            <w:rFonts w:eastAsia="Batang" w:cs="Times New Roman"/>
            <w:szCs w:val="24"/>
            <w:lang w:val="es-ES_tradnl" w:eastAsia="es-ES"/>
          </w:rPr>
          <w:t>la Ley</w:t>
        </w:r>
      </w:smartTag>
      <w:r w:rsidRPr="008E3E27">
        <w:rPr>
          <w:rFonts w:eastAsia="Batang" w:cs="Times New Roman"/>
          <w:szCs w:val="24"/>
          <w:lang w:val="es-ES_tradnl" w:eastAsia="es-ES"/>
        </w:rPr>
        <w:t xml:space="preserve"> de Sociedades de Capital para la mejora del gobierno corporativo, se hace constar que durante el ejercicio no se han producido situaciones de conflicto, directo o indirecto, de los administradores con el interés de la Sociedad.</w:t>
      </w:r>
    </w:p>
    <w:p w14:paraId="4B1CE38A" w14:textId="77777777" w:rsidR="006A3C50" w:rsidRDefault="006A3C50"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573D3ED" w14:textId="77777777" w:rsidR="00AE7FF0" w:rsidRPr="008E3E27" w:rsidRDefault="00AE7FF0"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E51FFF3" w14:textId="77777777" w:rsidR="008E3E27" w:rsidRPr="008E3E27" w:rsidRDefault="008E3E27" w:rsidP="008E3E27">
      <w:pPr>
        <w:keepNext/>
        <w:numPr>
          <w:ilvl w:val="0"/>
          <w:numId w:val="12"/>
        </w:numPr>
        <w:tabs>
          <w:tab w:val="clear" w:pos="1080"/>
          <w:tab w:val="num" w:pos="993"/>
        </w:tabs>
        <w:spacing w:after="0" w:line="240" w:lineRule="auto"/>
        <w:ind w:left="993" w:right="-63" w:hanging="426"/>
        <w:outlineLvl w:val="4"/>
        <w:rPr>
          <w:rFonts w:eastAsia="Times New Roman" w:cs="Times New Roman"/>
          <w:b/>
          <w:bCs/>
          <w:szCs w:val="24"/>
          <w:lang w:val="es-ES_tradnl" w:eastAsia="es-ES"/>
        </w:rPr>
      </w:pPr>
      <w:r w:rsidRPr="008E3E27">
        <w:rPr>
          <w:rFonts w:eastAsia="Times New Roman" w:cs="Times New Roman"/>
          <w:b/>
          <w:bCs/>
          <w:szCs w:val="24"/>
          <w:lang w:val="es-ES_tradnl" w:eastAsia="es-ES"/>
        </w:rPr>
        <w:t xml:space="preserve">Información sobre el periodo medio de pago a proveedores. </w:t>
      </w:r>
    </w:p>
    <w:p w14:paraId="1AD4C673" w14:textId="77777777" w:rsidR="008E3E2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6FCDF3F4" w14:textId="77777777" w:rsidR="008E3E27" w:rsidRPr="003D1A74"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highlight w:val="yellow"/>
          <w:lang w:val="es-ES_tradnl" w:eastAsia="es-ES"/>
        </w:rPr>
      </w:pPr>
      <w:r w:rsidRPr="00454040">
        <w:rPr>
          <w:rFonts w:eastAsia="Batang" w:cs="Times New Roman"/>
          <w:szCs w:val="24"/>
          <w:lang w:val="es-ES_tradnl" w:eastAsia="es-ES"/>
        </w:rPr>
        <w:t>A continuación se detalla la información requerida por la Disposición final segunda de la Ley 31/2014, de 3 de diciembre</w:t>
      </w:r>
      <w:r w:rsidR="00A2232E">
        <w:rPr>
          <w:rFonts w:eastAsia="Batang" w:cs="Times New Roman"/>
          <w:szCs w:val="24"/>
          <w:lang w:val="es-ES_tradnl" w:eastAsia="es-ES"/>
        </w:rPr>
        <w:t>.</w:t>
      </w:r>
      <w:r w:rsidRPr="003D1A74">
        <w:rPr>
          <w:rFonts w:eastAsia="Batang" w:cs="Times New Roman"/>
          <w:szCs w:val="24"/>
          <w:highlight w:val="yellow"/>
          <w:lang w:val="es-ES_tradnl" w:eastAsia="es-ES"/>
        </w:rPr>
        <w:t xml:space="preserve"> </w:t>
      </w:r>
    </w:p>
    <w:p w14:paraId="4B14D119" w14:textId="77777777" w:rsidR="00D4176D" w:rsidRPr="003D1A74" w:rsidRDefault="00D4176D" w:rsidP="008E3E27">
      <w:pPr>
        <w:keepLines/>
        <w:overflowPunct w:val="0"/>
        <w:autoSpaceDE w:val="0"/>
        <w:autoSpaceDN w:val="0"/>
        <w:adjustRightInd w:val="0"/>
        <w:spacing w:after="0" w:line="240" w:lineRule="auto"/>
        <w:ind w:left="567"/>
        <w:jc w:val="both"/>
        <w:textAlignment w:val="baseline"/>
        <w:rPr>
          <w:rFonts w:eastAsia="Batang" w:cs="Times New Roman"/>
          <w:szCs w:val="24"/>
          <w:highlight w:val="yellow"/>
          <w:lang w:val="es-ES_tradnl" w:eastAsia="es-ES"/>
        </w:rPr>
      </w:pPr>
    </w:p>
    <w:tbl>
      <w:tblPr>
        <w:tblStyle w:val="Tablaconcuadrcula"/>
        <w:tblW w:w="6941" w:type="dxa"/>
        <w:jc w:val="center"/>
        <w:tblLook w:val="04A0" w:firstRow="1" w:lastRow="0" w:firstColumn="1" w:lastColumn="0" w:noHBand="0" w:noVBand="1"/>
      </w:tblPr>
      <w:tblGrid>
        <w:gridCol w:w="3528"/>
        <w:gridCol w:w="1701"/>
        <w:gridCol w:w="1712"/>
      </w:tblGrid>
      <w:tr w:rsidR="00CA6C6C" w:rsidRPr="00C061F1" w14:paraId="368E5158" w14:textId="77777777" w:rsidTr="00CA6C6C">
        <w:trPr>
          <w:trHeight w:val="683"/>
          <w:jc w:val="center"/>
        </w:trPr>
        <w:tc>
          <w:tcPr>
            <w:tcW w:w="3528" w:type="dxa"/>
          </w:tcPr>
          <w:p w14:paraId="78A696DA" w14:textId="77777777" w:rsidR="00CA6C6C" w:rsidRPr="00C061F1" w:rsidRDefault="00CA6C6C" w:rsidP="00CA6C6C">
            <w:pPr>
              <w:jc w:val="both"/>
              <w:rPr>
                <w:rFonts w:ascii="Cambria" w:hAnsi="Cambria"/>
                <w:b/>
                <w:lang w:val="es-ES_tradnl"/>
              </w:rPr>
            </w:pPr>
            <w:r w:rsidRPr="00C061F1">
              <w:rPr>
                <w:rFonts w:ascii="Cambria" w:hAnsi="Cambria"/>
                <w:b/>
                <w:lang w:val="es-ES_tradnl"/>
              </w:rPr>
              <w:t>Período medio de pago y pagos realizados pendientes de pago en la fecha de cierre del balance</w:t>
            </w:r>
          </w:p>
        </w:tc>
        <w:tc>
          <w:tcPr>
            <w:tcW w:w="1701" w:type="dxa"/>
          </w:tcPr>
          <w:p w14:paraId="29F6232E" w14:textId="77777777" w:rsidR="00CA6C6C" w:rsidRPr="004E5D9C" w:rsidRDefault="00CA6C6C" w:rsidP="00CA6C6C">
            <w:pPr>
              <w:jc w:val="center"/>
              <w:rPr>
                <w:rFonts w:ascii="Cambria" w:hAnsi="Cambria"/>
                <w:b/>
                <w:sz w:val="22"/>
                <w:lang w:val="es-ES_tradnl"/>
              </w:rPr>
            </w:pPr>
          </w:p>
          <w:p w14:paraId="62B06A75" w14:textId="01EFCBF5" w:rsidR="00CA6C6C" w:rsidRPr="004E5D9C" w:rsidRDefault="00CA6C6C" w:rsidP="00CA6C6C">
            <w:pPr>
              <w:jc w:val="center"/>
              <w:rPr>
                <w:rFonts w:ascii="Cambria" w:hAnsi="Cambria"/>
                <w:b/>
                <w:sz w:val="22"/>
                <w:lang w:val="es-ES_tradnl"/>
              </w:rPr>
            </w:pPr>
            <w:r>
              <w:rPr>
                <w:rFonts w:ascii="Cambria" w:hAnsi="Cambria"/>
                <w:b/>
                <w:sz w:val="22"/>
                <w:lang w:val="es-ES_tradnl"/>
              </w:rPr>
              <w:t>2020</w:t>
            </w:r>
          </w:p>
        </w:tc>
        <w:tc>
          <w:tcPr>
            <w:tcW w:w="1712" w:type="dxa"/>
          </w:tcPr>
          <w:p w14:paraId="72250830" w14:textId="77777777" w:rsidR="00CA6C6C" w:rsidRPr="004E5D9C" w:rsidRDefault="00CA6C6C" w:rsidP="00CA6C6C">
            <w:pPr>
              <w:jc w:val="center"/>
              <w:rPr>
                <w:rFonts w:ascii="Cambria" w:hAnsi="Cambria"/>
                <w:b/>
                <w:sz w:val="22"/>
                <w:lang w:val="es-ES_tradnl"/>
              </w:rPr>
            </w:pPr>
          </w:p>
          <w:p w14:paraId="1EE6DC07" w14:textId="11B81A3E" w:rsidR="00CA6C6C" w:rsidRDefault="00CA6C6C" w:rsidP="00CA6C6C">
            <w:pPr>
              <w:jc w:val="center"/>
              <w:rPr>
                <w:b/>
                <w:lang w:val="es-ES_tradnl"/>
              </w:rPr>
            </w:pPr>
            <w:r w:rsidRPr="004E5D9C">
              <w:rPr>
                <w:rFonts w:ascii="Cambria" w:hAnsi="Cambria"/>
                <w:b/>
                <w:sz w:val="22"/>
                <w:lang w:val="es-ES_tradnl"/>
              </w:rPr>
              <w:t>2019</w:t>
            </w:r>
          </w:p>
        </w:tc>
      </w:tr>
      <w:tr w:rsidR="00CA6C6C" w:rsidRPr="00C061F1" w14:paraId="5D205C5A" w14:textId="77777777" w:rsidTr="00CA6C6C">
        <w:trPr>
          <w:trHeight w:val="222"/>
          <w:jc w:val="center"/>
        </w:trPr>
        <w:tc>
          <w:tcPr>
            <w:tcW w:w="3528" w:type="dxa"/>
          </w:tcPr>
          <w:p w14:paraId="0CD37F34" w14:textId="77777777" w:rsidR="00CA6C6C" w:rsidRPr="00C061F1" w:rsidRDefault="00CA6C6C" w:rsidP="00CA6C6C">
            <w:pPr>
              <w:jc w:val="both"/>
              <w:rPr>
                <w:rFonts w:ascii="Cambria" w:hAnsi="Cambria"/>
                <w:lang w:val="es-ES_tradnl"/>
              </w:rPr>
            </w:pPr>
          </w:p>
        </w:tc>
        <w:tc>
          <w:tcPr>
            <w:tcW w:w="1701" w:type="dxa"/>
          </w:tcPr>
          <w:p w14:paraId="28C3A663" w14:textId="77777777" w:rsidR="00CA6C6C" w:rsidRPr="00C061F1" w:rsidRDefault="00CA6C6C" w:rsidP="00CA6C6C">
            <w:pPr>
              <w:jc w:val="center"/>
              <w:rPr>
                <w:rFonts w:ascii="Cambria" w:hAnsi="Cambria"/>
                <w:b/>
                <w:lang w:val="es-ES_tradnl"/>
              </w:rPr>
            </w:pPr>
            <w:r w:rsidRPr="00C061F1">
              <w:rPr>
                <w:rFonts w:ascii="Cambria" w:hAnsi="Cambria"/>
                <w:b/>
                <w:lang w:val="es-ES_tradnl"/>
              </w:rPr>
              <w:t>Días</w:t>
            </w:r>
          </w:p>
        </w:tc>
        <w:tc>
          <w:tcPr>
            <w:tcW w:w="1712" w:type="dxa"/>
          </w:tcPr>
          <w:p w14:paraId="5587FBF5" w14:textId="5ED3794A" w:rsidR="00CA6C6C" w:rsidRPr="00C061F1" w:rsidRDefault="00CA6C6C" w:rsidP="00CA6C6C">
            <w:pPr>
              <w:jc w:val="center"/>
              <w:rPr>
                <w:b/>
                <w:lang w:val="es-ES_tradnl"/>
              </w:rPr>
            </w:pPr>
            <w:r w:rsidRPr="00C061F1">
              <w:rPr>
                <w:rFonts w:ascii="Cambria" w:hAnsi="Cambria"/>
                <w:b/>
                <w:lang w:val="es-ES_tradnl"/>
              </w:rPr>
              <w:t>Días</w:t>
            </w:r>
          </w:p>
        </w:tc>
      </w:tr>
      <w:tr w:rsidR="00CA6C6C" w:rsidRPr="00C061F1" w14:paraId="0E4E74C7" w14:textId="77777777" w:rsidTr="00CA6C6C">
        <w:trPr>
          <w:trHeight w:val="364"/>
          <w:jc w:val="center"/>
        </w:trPr>
        <w:tc>
          <w:tcPr>
            <w:tcW w:w="3528" w:type="dxa"/>
          </w:tcPr>
          <w:p w14:paraId="3D83D006" w14:textId="77777777" w:rsidR="00CA6C6C" w:rsidRPr="00C061F1" w:rsidRDefault="00CA6C6C" w:rsidP="00CA6C6C">
            <w:pPr>
              <w:jc w:val="both"/>
              <w:rPr>
                <w:rFonts w:ascii="Cambria" w:hAnsi="Cambria"/>
                <w:lang w:val="es-ES_tradnl"/>
              </w:rPr>
            </w:pPr>
            <w:r w:rsidRPr="00C061F1">
              <w:rPr>
                <w:rFonts w:ascii="Cambria" w:hAnsi="Cambria"/>
                <w:lang w:val="es-ES_tradnl"/>
              </w:rPr>
              <w:t>Período medio de pago a proveedores</w:t>
            </w:r>
          </w:p>
        </w:tc>
        <w:tc>
          <w:tcPr>
            <w:tcW w:w="1701" w:type="dxa"/>
          </w:tcPr>
          <w:p w14:paraId="04D03C2B" w14:textId="515A5E02" w:rsidR="00CA6C6C" w:rsidRPr="00C061F1" w:rsidRDefault="006304B7" w:rsidP="00CA6C6C">
            <w:pPr>
              <w:jc w:val="center"/>
              <w:rPr>
                <w:rFonts w:ascii="Cambria" w:hAnsi="Cambria"/>
                <w:lang w:val="es-ES_tradnl"/>
              </w:rPr>
            </w:pPr>
            <w:r>
              <w:rPr>
                <w:rFonts w:ascii="Cambria" w:hAnsi="Cambria"/>
                <w:lang w:val="es-ES_tradnl"/>
              </w:rPr>
              <w:t>10,32</w:t>
            </w:r>
          </w:p>
        </w:tc>
        <w:tc>
          <w:tcPr>
            <w:tcW w:w="1712" w:type="dxa"/>
          </w:tcPr>
          <w:p w14:paraId="27BE7D5C" w14:textId="71E0F1A2" w:rsidR="00CA6C6C" w:rsidRPr="00C061F1" w:rsidRDefault="00CA6C6C" w:rsidP="00CA6C6C">
            <w:pPr>
              <w:jc w:val="center"/>
              <w:rPr>
                <w:lang w:val="es-ES_tradnl"/>
              </w:rPr>
            </w:pPr>
            <w:r w:rsidRPr="00C061F1">
              <w:rPr>
                <w:rFonts w:ascii="Cambria" w:hAnsi="Cambria"/>
                <w:lang w:val="es-ES_tradnl"/>
              </w:rPr>
              <w:t>28,18</w:t>
            </w:r>
          </w:p>
        </w:tc>
      </w:tr>
      <w:tr w:rsidR="00CA6C6C" w:rsidRPr="00C061F1" w14:paraId="0B52BF9F" w14:textId="77777777" w:rsidTr="00CA6C6C">
        <w:trPr>
          <w:trHeight w:val="342"/>
          <w:jc w:val="center"/>
        </w:trPr>
        <w:tc>
          <w:tcPr>
            <w:tcW w:w="3528" w:type="dxa"/>
          </w:tcPr>
          <w:p w14:paraId="72E2ADF6" w14:textId="77777777" w:rsidR="00CA6C6C" w:rsidRPr="00C061F1" w:rsidRDefault="00CA6C6C" w:rsidP="00CA6C6C">
            <w:pPr>
              <w:jc w:val="both"/>
              <w:rPr>
                <w:rFonts w:ascii="Cambria" w:hAnsi="Cambria"/>
                <w:lang w:val="es-ES_tradnl"/>
              </w:rPr>
            </w:pPr>
            <w:r w:rsidRPr="00C061F1">
              <w:rPr>
                <w:rFonts w:ascii="Cambria" w:hAnsi="Cambria"/>
                <w:lang w:val="es-ES_tradnl"/>
              </w:rPr>
              <w:t>Ratio de operaciones pagadas</w:t>
            </w:r>
          </w:p>
        </w:tc>
        <w:tc>
          <w:tcPr>
            <w:tcW w:w="1701" w:type="dxa"/>
          </w:tcPr>
          <w:p w14:paraId="7D38B4FE" w14:textId="1CC47E64" w:rsidR="00CA6C6C" w:rsidRPr="00C061F1" w:rsidRDefault="006304B7" w:rsidP="00CA6C6C">
            <w:pPr>
              <w:jc w:val="center"/>
              <w:rPr>
                <w:rFonts w:ascii="Cambria" w:hAnsi="Cambria"/>
                <w:lang w:val="es-ES_tradnl"/>
              </w:rPr>
            </w:pPr>
            <w:r>
              <w:rPr>
                <w:rFonts w:ascii="Cambria" w:hAnsi="Cambria"/>
                <w:lang w:val="es-ES_tradnl"/>
              </w:rPr>
              <w:t>10,61</w:t>
            </w:r>
          </w:p>
        </w:tc>
        <w:tc>
          <w:tcPr>
            <w:tcW w:w="1712" w:type="dxa"/>
          </w:tcPr>
          <w:p w14:paraId="7EC9FACC" w14:textId="5DA2C751" w:rsidR="00CA6C6C" w:rsidRPr="00C061F1" w:rsidRDefault="00CA6C6C" w:rsidP="00CA6C6C">
            <w:pPr>
              <w:jc w:val="center"/>
              <w:rPr>
                <w:lang w:val="es-ES_tradnl"/>
              </w:rPr>
            </w:pPr>
            <w:r w:rsidRPr="00C061F1">
              <w:rPr>
                <w:rFonts w:ascii="Cambria" w:hAnsi="Cambria"/>
                <w:lang w:val="es-ES_tradnl"/>
              </w:rPr>
              <w:t>28,25</w:t>
            </w:r>
          </w:p>
        </w:tc>
      </w:tr>
      <w:tr w:rsidR="00CA6C6C" w:rsidRPr="00C061F1" w14:paraId="2B4721E8" w14:textId="77777777" w:rsidTr="00CA6C6C">
        <w:trPr>
          <w:trHeight w:val="276"/>
          <w:jc w:val="center"/>
        </w:trPr>
        <w:tc>
          <w:tcPr>
            <w:tcW w:w="3528" w:type="dxa"/>
          </w:tcPr>
          <w:p w14:paraId="008DFBDA" w14:textId="77777777" w:rsidR="00CA6C6C" w:rsidRPr="00C061F1" w:rsidRDefault="00CA6C6C" w:rsidP="00CA6C6C">
            <w:pPr>
              <w:jc w:val="both"/>
              <w:rPr>
                <w:rFonts w:ascii="Cambria" w:hAnsi="Cambria"/>
                <w:lang w:val="es-ES_tradnl"/>
              </w:rPr>
            </w:pPr>
            <w:r w:rsidRPr="00C061F1">
              <w:rPr>
                <w:rFonts w:ascii="Cambria" w:hAnsi="Cambria"/>
                <w:lang w:val="es-ES_tradnl"/>
              </w:rPr>
              <w:t>Ratio de operaciones pendientes de pago</w:t>
            </w:r>
          </w:p>
        </w:tc>
        <w:tc>
          <w:tcPr>
            <w:tcW w:w="1701" w:type="dxa"/>
          </w:tcPr>
          <w:p w14:paraId="62037970" w14:textId="3DA0220C" w:rsidR="00CA6C6C" w:rsidRPr="00C061F1" w:rsidRDefault="006304B7" w:rsidP="00CA6C6C">
            <w:pPr>
              <w:jc w:val="center"/>
              <w:rPr>
                <w:rFonts w:ascii="Cambria" w:hAnsi="Cambria"/>
                <w:lang w:val="es-ES_tradnl"/>
              </w:rPr>
            </w:pPr>
            <w:r>
              <w:rPr>
                <w:rFonts w:ascii="Cambria" w:hAnsi="Cambria"/>
                <w:lang w:val="es-ES_tradnl"/>
              </w:rPr>
              <w:t>-</w:t>
            </w:r>
          </w:p>
        </w:tc>
        <w:tc>
          <w:tcPr>
            <w:tcW w:w="1712" w:type="dxa"/>
          </w:tcPr>
          <w:p w14:paraId="21168A5E" w14:textId="48C544D1" w:rsidR="00CA6C6C" w:rsidRPr="00C061F1" w:rsidRDefault="00CA6C6C" w:rsidP="00CA6C6C">
            <w:pPr>
              <w:jc w:val="center"/>
              <w:rPr>
                <w:lang w:val="es-ES_tradnl"/>
              </w:rPr>
            </w:pPr>
            <w:r w:rsidRPr="00C061F1">
              <w:rPr>
                <w:rFonts w:ascii="Cambria" w:hAnsi="Cambria"/>
                <w:lang w:val="es-ES_tradnl"/>
              </w:rPr>
              <w:t>20,00</w:t>
            </w:r>
          </w:p>
        </w:tc>
      </w:tr>
      <w:tr w:rsidR="00CA1A65" w:rsidRPr="00C061F1" w14:paraId="71E1ABCB" w14:textId="77777777" w:rsidTr="00AE2A1E">
        <w:trPr>
          <w:trHeight w:val="460"/>
          <w:jc w:val="center"/>
        </w:trPr>
        <w:tc>
          <w:tcPr>
            <w:tcW w:w="3528" w:type="dxa"/>
          </w:tcPr>
          <w:p w14:paraId="62EC956D" w14:textId="77777777" w:rsidR="00CA1A65" w:rsidRPr="00C061F1" w:rsidRDefault="00CA1A65" w:rsidP="00CA6C6C">
            <w:pPr>
              <w:jc w:val="both"/>
              <w:rPr>
                <w:rFonts w:ascii="Cambria" w:hAnsi="Cambria"/>
                <w:lang w:val="es-ES_tradnl"/>
              </w:rPr>
            </w:pPr>
          </w:p>
        </w:tc>
        <w:tc>
          <w:tcPr>
            <w:tcW w:w="3413" w:type="dxa"/>
            <w:gridSpan w:val="2"/>
          </w:tcPr>
          <w:p w14:paraId="042A3534" w14:textId="7D17AD4B" w:rsidR="00CA1A65" w:rsidRPr="00CA1A65" w:rsidRDefault="00CA1A65" w:rsidP="00CA6C6C">
            <w:pPr>
              <w:jc w:val="center"/>
              <w:rPr>
                <w:b/>
                <w:sz w:val="22"/>
                <w:szCs w:val="22"/>
                <w:lang w:val="es-ES_tradnl"/>
              </w:rPr>
            </w:pPr>
            <w:r w:rsidRPr="00CA1A65">
              <w:rPr>
                <w:rFonts w:ascii="Cambria" w:hAnsi="Cambria"/>
                <w:b/>
                <w:sz w:val="22"/>
                <w:szCs w:val="22"/>
                <w:lang w:val="es-ES_tradnl"/>
              </w:rPr>
              <w:t>Importe (en miles de euros)</w:t>
            </w:r>
          </w:p>
        </w:tc>
      </w:tr>
      <w:tr w:rsidR="00CA6C6C" w:rsidRPr="00C061F1" w14:paraId="27596B8E" w14:textId="77777777" w:rsidTr="00CA6C6C">
        <w:trPr>
          <w:trHeight w:val="222"/>
          <w:jc w:val="center"/>
        </w:trPr>
        <w:tc>
          <w:tcPr>
            <w:tcW w:w="3528" w:type="dxa"/>
          </w:tcPr>
          <w:p w14:paraId="79887BF6" w14:textId="77777777" w:rsidR="00CA6C6C" w:rsidRPr="00C061F1" w:rsidRDefault="00CA6C6C" w:rsidP="00CA6C6C">
            <w:pPr>
              <w:jc w:val="both"/>
              <w:rPr>
                <w:rFonts w:ascii="Cambria" w:hAnsi="Cambria"/>
                <w:lang w:val="es-ES_tradnl"/>
              </w:rPr>
            </w:pPr>
            <w:r w:rsidRPr="00C061F1">
              <w:rPr>
                <w:rFonts w:ascii="Cambria" w:hAnsi="Cambria"/>
                <w:lang w:val="es-ES_tradnl"/>
              </w:rPr>
              <w:t>Total pagos realizados</w:t>
            </w:r>
          </w:p>
        </w:tc>
        <w:tc>
          <w:tcPr>
            <w:tcW w:w="1701" w:type="dxa"/>
          </w:tcPr>
          <w:p w14:paraId="040877E5" w14:textId="135E730B" w:rsidR="00CA6C6C" w:rsidRPr="00C061F1" w:rsidRDefault="006304B7" w:rsidP="00CA6C6C">
            <w:pPr>
              <w:jc w:val="center"/>
              <w:rPr>
                <w:rFonts w:ascii="Cambria" w:hAnsi="Cambria"/>
                <w:lang w:val="es-ES_tradnl"/>
              </w:rPr>
            </w:pPr>
            <w:r>
              <w:rPr>
                <w:rFonts w:ascii="Cambria" w:hAnsi="Cambria"/>
                <w:lang w:val="es-ES_tradnl"/>
              </w:rPr>
              <w:t>63,14</w:t>
            </w:r>
          </w:p>
        </w:tc>
        <w:tc>
          <w:tcPr>
            <w:tcW w:w="1712" w:type="dxa"/>
          </w:tcPr>
          <w:p w14:paraId="75D00774" w14:textId="0D29774C" w:rsidR="00CA6C6C" w:rsidRPr="00C061F1" w:rsidRDefault="00CA6C6C" w:rsidP="00CA6C6C">
            <w:pPr>
              <w:jc w:val="center"/>
              <w:rPr>
                <w:lang w:val="es-ES_tradnl"/>
              </w:rPr>
            </w:pPr>
            <w:r w:rsidRPr="00C061F1">
              <w:rPr>
                <w:rFonts w:ascii="Cambria" w:hAnsi="Cambria"/>
                <w:lang w:val="es-ES_tradnl"/>
              </w:rPr>
              <w:t>67,48</w:t>
            </w:r>
          </w:p>
        </w:tc>
      </w:tr>
      <w:tr w:rsidR="00CA6C6C" w:rsidRPr="00C061F1" w14:paraId="78C07AC7" w14:textId="77777777" w:rsidTr="00CA6C6C">
        <w:trPr>
          <w:trHeight w:val="207"/>
          <w:jc w:val="center"/>
        </w:trPr>
        <w:tc>
          <w:tcPr>
            <w:tcW w:w="3528" w:type="dxa"/>
          </w:tcPr>
          <w:p w14:paraId="2C7FFC61" w14:textId="77777777" w:rsidR="00CA6C6C" w:rsidRPr="00C061F1" w:rsidRDefault="00CA6C6C" w:rsidP="00CA6C6C">
            <w:pPr>
              <w:jc w:val="both"/>
              <w:rPr>
                <w:rFonts w:ascii="Cambria" w:hAnsi="Cambria"/>
                <w:lang w:val="es-ES_tradnl"/>
              </w:rPr>
            </w:pPr>
            <w:r w:rsidRPr="00C061F1">
              <w:rPr>
                <w:rFonts w:ascii="Cambria" w:hAnsi="Cambria"/>
                <w:lang w:val="es-ES_tradnl"/>
              </w:rPr>
              <w:t>Total pagos pendientes</w:t>
            </w:r>
          </w:p>
        </w:tc>
        <w:tc>
          <w:tcPr>
            <w:tcW w:w="1701" w:type="dxa"/>
          </w:tcPr>
          <w:p w14:paraId="4501EE41" w14:textId="4D473761" w:rsidR="00CA6C6C" w:rsidRPr="00C061F1" w:rsidRDefault="006304B7" w:rsidP="00CA6C6C">
            <w:pPr>
              <w:jc w:val="center"/>
              <w:rPr>
                <w:rFonts w:ascii="Cambria" w:hAnsi="Cambria"/>
                <w:lang w:val="es-ES_tradnl"/>
              </w:rPr>
            </w:pPr>
            <w:r>
              <w:rPr>
                <w:rFonts w:ascii="Cambria" w:hAnsi="Cambria"/>
                <w:lang w:val="es-ES_tradnl"/>
              </w:rPr>
              <w:t>1,76</w:t>
            </w:r>
          </w:p>
        </w:tc>
        <w:tc>
          <w:tcPr>
            <w:tcW w:w="1712" w:type="dxa"/>
          </w:tcPr>
          <w:p w14:paraId="474F8DC8" w14:textId="0AD25B9B" w:rsidR="00CA6C6C" w:rsidRPr="00C061F1" w:rsidRDefault="00CA6C6C" w:rsidP="00CA6C6C">
            <w:pPr>
              <w:jc w:val="center"/>
              <w:rPr>
                <w:lang w:val="es-ES_tradnl"/>
              </w:rPr>
            </w:pPr>
            <w:r w:rsidRPr="00C061F1">
              <w:rPr>
                <w:rFonts w:ascii="Cambria" w:hAnsi="Cambria"/>
                <w:lang w:val="es-ES_tradnl"/>
              </w:rPr>
              <w:t>0,61</w:t>
            </w:r>
          </w:p>
        </w:tc>
      </w:tr>
    </w:tbl>
    <w:p w14:paraId="0B3314EA" w14:textId="77777777" w:rsidR="008E3E27" w:rsidRPr="00C6588F" w:rsidRDefault="008E3E27" w:rsidP="00BF49B9">
      <w:pPr>
        <w:spacing w:after="0" w:line="240" w:lineRule="auto"/>
        <w:rPr>
          <w:highlight w:val="yellow"/>
        </w:rPr>
      </w:pPr>
    </w:p>
    <w:p w14:paraId="41B608C9" w14:textId="77777777" w:rsidR="000877B7" w:rsidRDefault="000877B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7F7BCE33" w14:textId="77777777" w:rsidR="008E3E27" w:rsidRPr="00454040"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54040">
        <w:rPr>
          <w:rFonts w:eastAsia="Batang" w:cs="Times New Roman"/>
          <w:szCs w:val="24"/>
          <w:lang w:val="es-ES_tradnl" w:eastAsia="es-ES"/>
        </w:rPr>
        <w:t>Se entenderá por “Periodo medio de pago a proveedores” al plazo que transcurre desde la entrega de bienes o prestación de servicios a cargo del proveedor hasta el pago de la operación.</w:t>
      </w:r>
    </w:p>
    <w:p w14:paraId="4BA269CC" w14:textId="77777777" w:rsidR="008E3E27" w:rsidRPr="00454040"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0C186E9" w14:textId="2AB711C7" w:rsid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54040">
        <w:rPr>
          <w:rFonts w:eastAsia="Batang" w:cs="Times New Roman"/>
          <w:szCs w:val="24"/>
          <w:lang w:val="es-ES_tradnl" w:eastAsia="es-ES"/>
        </w:rPr>
        <w:t>Dicho “Periodo medio de pago a proveedores” se calcula como el cociente formado en el numerador por el sumatorio del ratio de operaciones pagadas por el importe total de los pagos realizados más el ratio de operaciones pendientes de pago por el importe total de pagos pendientes y, en el denominador, por el importe total de pagos realizados y los pagos pendientes.</w:t>
      </w:r>
    </w:p>
    <w:p w14:paraId="4C31C367" w14:textId="2C222488" w:rsidR="00C84039" w:rsidRDefault="00C84039"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34E02E47" w14:textId="77777777" w:rsidR="00C84039" w:rsidRPr="00454040" w:rsidRDefault="00C84039"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0B615D48" w14:textId="77777777" w:rsidR="008E3E27" w:rsidRPr="00454040"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54040">
        <w:rPr>
          <w:rFonts w:eastAsia="Batang" w:cs="Times New Roman"/>
          <w:szCs w:val="24"/>
          <w:lang w:val="es-ES_tradnl" w:eastAsia="es-ES"/>
        </w:rPr>
        <w:t>El ratio de operaciones pagadas se calcula como el cociente formado en el numerador por el sumatorio de los productos correspondientes a los importes pagados, por el número de días de pago (días naturales transcurridos desde que se inicia el cómputo del plazo hasta el pago material de operación) y, en el denominador, el importe total de pagos realizados.</w:t>
      </w:r>
    </w:p>
    <w:p w14:paraId="31445552" w14:textId="77777777" w:rsidR="008E3E27" w:rsidRPr="00454040"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p>
    <w:p w14:paraId="2589ED2D" w14:textId="77777777" w:rsidR="00F90F97" w:rsidRPr="008E3E27" w:rsidRDefault="008E3E27" w:rsidP="008E3E27">
      <w:pPr>
        <w:keepLines/>
        <w:overflowPunct w:val="0"/>
        <w:autoSpaceDE w:val="0"/>
        <w:autoSpaceDN w:val="0"/>
        <w:adjustRightInd w:val="0"/>
        <w:spacing w:after="0" w:line="240" w:lineRule="auto"/>
        <w:ind w:left="567"/>
        <w:jc w:val="both"/>
        <w:textAlignment w:val="baseline"/>
        <w:rPr>
          <w:rFonts w:eastAsia="Batang" w:cs="Times New Roman"/>
          <w:szCs w:val="24"/>
          <w:lang w:val="es-ES_tradnl" w:eastAsia="es-ES"/>
        </w:rPr>
      </w:pPr>
      <w:r w:rsidRPr="00454040">
        <w:rPr>
          <w:rFonts w:eastAsia="Batang" w:cs="Times New Roman"/>
          <w:szCs w:val="24"/>
          <w:lang w:val="es-ES_tradnl" w:eastAsia="es-ES"/>
        </w:rPr>
        <w:t>Asimismo, el ratio de operaciones pendientes de pago corresponde al cociente formulado en el numerador por el sumatorio de los productos correspondientes a los importes pendientes de pago, por el número de días pendiente de pago (días naturales transcurridos que se inicia el cómputo del plazo hasta el día de cierre de las cuentas anuales) y, el denominador, el importe total de pagos pendientes</w:t>
      </w:r>
      <w:r w:rsidR="00C6071D" w:rsidRPr="00454040">
        <w:rPr>
          <w:rFonts w:eastAsia="Batang" w:cs="Times New Roman"/>
          <w:szCs w:val="24"/>
          <w:lang w:val="es-ES_tradnl" w:eastAsia="es-ES"/>
        </w:rPr>
        <w:t>.</w:t>
      </w:r>
    </w:p>
    <w:p w14:paraId="375CAEA4" w14:textId="77777777" w:rsidR="008154BA" w:rsidRDefault="008154BA">
      <w:r>
        <w:br w:type="page"/>
      </w:r>
    </w:p>
    <w:p w14:paraId="79A49481" w14:textId="77777777" w:rsidR="00F90F97" w:rsidRDefault="00F90F97" w:rsidP="00BF49B9">
      <w:pPr>
        <w:spacing w:after="0" w:line="240" w:lineRule="auto"/>
      </w:pPr>
    </w:p>
    <w:p w14:paraId="39E20B48" w14:textId="77777777" w:rsidR="008E3E27" w:rsidRPr="008E3E27" w:rsidRDefault="008E3E27" w:rsidP="008E3E27">
      <w:pPr>
        <w:spacing w:after="0" w:line="240" w:lineRule="auto"/>
        <w:jc w:val="center"/>
        <w:outlineLvl w:val="0"/>
        <w:rPr>
          <w:rFonts w:eastAsia="Times New Roman" w:cs="Times New Roman"/>
          <w:b/>
          <w:szCs w:val="24"/>
          <w:lang w:eastAsia="es-ES"/>
        </w:rPr>
      </w:pPr>
      <w:r w:rsidRPr="008E3E27">
        <w:rPr>
          <w:rFonts w:eastAsia="Times New Roman" w:cs="Times New Roman"/>
          <w:b/>
          <w:szCs w:val="24"/>
          <w:lang w:eastAsia="es-ES"/>
        </w:rPr>
        <w:t xml:space="preserve">ALIMENTOS </w:t>
      </w:r>
      <w:r w:rsidR="00DB45AB">
        <w:rPr>
          <w:rFonts w:eastAsia="Times New Roman" w:cs="Times New Roman"/>
          <w:b/>
          <w:szCs w:val="24"/>
          <w:lang w:eastAsia="es-ES"/>
        </w:rPr>
        <w:t>Y</w:t>
      </w:r>
      <w:r w:rsidRPr="008E3E27">
        <w:rPr>
          <w:rFonts w:eastAsia="Times New Roman" w:cs="Times New Roman"/>
          <w:b/>
          <w:szCs w:val="24"/>
          <w:lang w:eastAsia="es-ES"/>
        </w:rPr>
        <w:t xml:space="preserve"> ACEITES, S.A. </w:t>
      </w:r>
      <w:r w:rsidR="00551C7D">
        <w:rPr>
          <w:rFonts w:eastAsia="Times New Roman" w:cs="Times New Roman"/>
          <w:b/>
          <w:szCs w:val="24"/>
          <w:lang w:eastAsia="es-ES"/>
        </w:rPr>
        <w:t>S.M.E.</w:t>
      </w:r>
    </w:p>
    <w:p w14:paraId="2FD78AB8" w14:textId="35C6AA47" w:rsidR="008E3E27" w:rsidRPr="008E3E27" w:rsidRDefault="008E3E27" w:rsidP="008E3E27">
      <w:pPr>
        <w:spacing w:after="0" w:line="240" w:lineRule="auto"/>
        <w:jc w:val="center"/>
        <w:outlineLvl w:val="0"/>
        <w:rPr>
          <w:rFonts w:eastAsia="Times New Roman" w:cs="Times New Roman"/>
          <w:b/>
          <w:caps/>
          <w:szCs w:val="24"/>
          <w:lang w:eastAsia="es-ES"/>
        </w:rPr>
      </w:pPr>
      <w:r w:rsidRPr="008E3E27">
        <w:rPr>
          <w:rFonts w:eastAsia="Times New Roman" w:cs="Times New Roman"/>
          <w:b/>
          <w:szCs w:val="24"/>
          <w:lang w:eastAsia="es-ES"/>
        </w:rPr>
        <w:t>INFORME DE GESTIÓN</w:t>
      </w:r>
      <w:r w:rsidR="005629AA">
        <w:rPr>
          <w:rFonts w:eastAsia="Times New Roman" w:cs="Times New Roman"/>
          <w:b/>
          <w:caps/>
          <w:szCs w:val="24"/>
          <w:lang w:eastAsia="es-ES"/>
        </w:rPr>
        <w:t xml:space="preserve"> del Ejercicio 2020</w:t>
      </w:r>
    </w:p>
    <w:p w14:paraId="7AF18C35" w14:textId="77777777" w:rsidR="008E3E27" w:rsidRPr="008E3E27" w:rsidRDefault="008E3E27" w:rsidP="008E3E27">
      <w:pPr>
        <w:spacing w:after="0" w:line="240" w:lineRule="auto"/>
        <w:jc w:val="center"/>
        <w:outlineLvl w:val="0"/>
        <w:rPr>
          <w:rFonts w:eastAsia="Times New Roman" w:cs="Times New Roman"/>
          <w:b/>
          <w:szCs w:val="24"/>
          <w:lang w:eastAsia="es-ES"/>
        </w:rPr>
      </w:pPr>
    </w:p>
    <w:p w14:paraId="1F9CC584" w14:textId="77777777" w:rsidR="008E3E27" w:rsidRPr="008E3E27" w:rsidRDefault="008E3E27" w:rsidP="008E3E27">
      <w:pPr>
        <w:spacing w:after="0" w:line="240" w:lineRule="auto"/>
        <w:jc w:val="center"/>
        <w:rPr>
          <w:rFonts w:eastAsia="Times New Roman" w:cs="Times New Roman"/>
          <w:b/>
          <w:szCs w:val="24"/>
          <w:lang w:eastAsia="es-ES"/>
        </w:rPr>
      </w:pPr>
    </w:p>
    <w:p w14:paraId="5C5220F5" w14:textId="48C6266F"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lang w:eastAsia="es-ES"/>
        </w:rPr>
      </w:pPr>
      <w:r w:rsidRPr="008E3E27">
        <w:rPr>
          <w:rFonts w:eastAsia="Batang" w:cs="Times New Roman"/>
          <w:b/>
          <w:szCs w:val="24"/>
          <w:u w:val="single"/>
          <w:lang w:eastAsia="es-ES"/>
        </w:rPr>
        <w:t>ACTIVIDAD Y PERSPECTIVAS PARA</w:t>
      </w:r>
      <w:r w:rsidR="005629AA">
        <w:rPr>
          <w:rFonts w:eastAsia="Batang" w:cs="Times New Roman"/>
          <w:b/>
          <w:szCs w:val="24"/>
          <w:u w:val="single"/>
          <w:lang w:eastAsia="es-ES"/>
        </w:rPr>
        <w:t xml:space="preserve"> 2020</w:t>
      </w:r>
    </w:p>
    <w:p w14:paraId="55C74632" w14:textId="77777777" w:rsidR="008E3E27" w:rsidRPr="008E3E27" w:rsidRDefault="008E3E27" w:rsidP="008E3E27">
      <w:pPr>
        <w:spacing w:after="0" w:line="240" w:lineRule="auto"/>
        <w:ind w:left="540"/>
        <w:jc w:val="both"/>
        <w:rPr>
          <w:rFonts w:eastAsia="Batang" w:cs="Times New Roman"/>
          <w:b/>
          <w:szCs w:val="24"/>
          <w:u w:val="single"/>
          <w:lang w:eastAsia="es-ES"/>
        </w:rPr>
      </w:pPr>
    </w:p>
    <w:p w14:paraId="58DCDB48" w14:textId="185433C4" w:rsidR="006A29FE" w:rsidRPr="00C6588F" w:rsidRDefault="005629AA" w:rsidP="00C6588F">
      <w:pPr>
        <w:spacing w:after="0" w:line="240" w:lineRule="auto"/>
        <w:ind w:left="540"/>
        <w:jc w:val="both"/>
        <w:rPr>
          <w:rFonts w:eastAsia="Batang" w:cs="Times New Roman"/>
          <w:b/>
          <w:szCs w:val="24"/>
          <w:u w:val="single"/>
          <w:lang w:eastAsia="es-ES"/>
        </w:rPr>
      </w:pPr>
      <w:r>
        <w:rPr>
          <w:rFonts w:eastAsia="Times New Roman" w:cs="Times New Roman"/>
          <w:szCs w:val="24"/>
          <w:lang w:val="es-ES_tradnl" w:eastAsia="es-ES"/>
        </w:rPr>
        <w:t>Durante el ejercicio 2020</w:t>
      </w:r>
      <w:r w:rsidR="008E3E27" w:rsidRPr="008E3E27">
        <w:rPr>
          <w:rFonts w:eastAsia="Times New Roman" w:cs="Times New Roman"/>
          <w:szCs w:val="24"/>
          <w:lang w:val="es-ES_tradnl" w:eastAsia="es-ES"/>
        </w:rPr>
        <w:t xml:space="preserve"> la sociedad ha continuado con su actividad normal de gestión de su cartera</w:t>
      </w:r>
      <w:r w:rsidR="001062BB">
        <w:rPr>
          <w:rFonts w:eastAsia="Times New Roman" w:cs="Times New Roman"/>
          <w:szCs w:val="24"/>
          <w:lang w:val="es-ES_tradnl" w:eastAsia="es-ES"/>
        </w:rPr>
        <w:t>.</w:t>
      </w:r>
      <w:r w:rsidR="00D255E9">
        <w:rPr>
          <w:rFonts w:eastAsia="Times New Roman" w:cs="Times New Roman"/>
          <w:szCs w:val="24"/>
          <w:lang w:val="es-ES_tradnl" w:eastAsia="es-ES"/>
        </w:rPr>
        <w:t xml:space="preserve"> </w:t>
      </w:r>
    </w:p>
    <w:p w14:paraId="2BD5414F" w14:textId="77777777" w:rsidR="006A29FE" w:rsidRDefault="006A29FE" w:rsidP="00C6588F">
      <w:pPr>
        <w:pStyle w:val="Prrafodelista"/>
        <w:rPr>
          <w:rFonts w:eastAsia="Batang" w:cs="Times New Roman"/>
          <w:b/>
          <w:szCs w:val="24"/>
          <w:u w:val="single"/>
          <w:lang w:eastAsia="es-ES"/>
        </w:rPr>
      </w:pPr>
    </w:p>
    <w:p w14:paraId="2F37399C"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INVESTIGACIÓN Y DESARROLLO</w:t>
      </w:r>
    </w:p>
    <w:p w14:paraId="74A9DB34"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334B494F" w14:textId="298F2DA8"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r w:rsidRPr="008E3E27">
        <w:rPr>
          <w:rFonts w:eastAsia="Times New Roman" w:cs="Times New Roman"/>
          <w:szCs w:val="24"/>
          <w:lang w:val="es-ES_tradnl" w:eastAsia="es-ES"/>
        </w:rPr>
        <w:t>La sociedad no h</w:t>
      </w:r>
      <w:r w:rsidR="005629AA">
        <w:rPr>
          <w:rFonts w:eastAsia="Times New Roman" w:cs="Times New Roman"/>
          <w:szCs w:val="24"/>
          <w:lang w:val="es-ES_tradnl" w:eastAsia="es-ES"/>
        </w:rPr>
        <w:t>a efectuado durante los años 2020</w:t>
      </w:r>
      <w:r w:rsidRPr="008E3E27">
        <w:rPr>
          <w:rFonts w:eastAsia="Times New Roman" w:cs="Times New Roman"/>
          <w:szCs w:val="24"/>
          <w:lang w:val="es-ES_tradnl" w:eastAsia="es-ES"/>
        </w:rPr>
        <w:t xml:space="preserve"> y 20</w:t>
      </w:r>
      <w:r w:rsidR="00D255E9">
        <w:rPr>
          <w:rFonts w:eastAsia="Times New Roman" w:cs="Times New Roman"/>
          <w:szCs w:val="24"/>
          <w:lang w:val="es-ES_tradnl" w:eastAsia="es-ES"/>
        </w:rPr>
        <w:t>1</w:t>
      </w:r>
      <w:r w:rsidR="005629AA">
        <w:rPr>
          <w:rFonts w:eastAsia="Times New Roman" w:cs="Times New Roman"/>
          <w:szCs w:val="24"/>
          <w:lang w:val="es-ES_tradnl" w:eastAsia="es-ES"/>
        </w:rPr>
        <w:t>9</w:t>
      </w:r>
      <w:r w:rsidRPr="008E3E27">
        <w:rPr>
          <w:rFonts w:eastAsia="Times New Roman" w:cs="Times New Roman"/>
          <w:szCs w:val="24"/>
          <w:lang w:val="es-ES_tradnl" w:eastAsia="es-ES"/>
        </w:rPr>
        <w:t>, actividades en Investigación y Desarrollo.</w:t>
      </w:r>
    </w:p>
    <w:p w14:paraId="6A48396F"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6FD03A14"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CAPITAL SOCIAL</w:t>
      </w:r>
    </w:p>
    <w:p w14:paraId="2250FA8B"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17A861EB" w14:textId="0C53097D" w:rsidR="008E3E27" w:rsidRPr="008E3E27" w:rsidRDefault="005629A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r>
        <w:rPr>
          <w:rFonts w:eastAsia="Times New Roman" w:cs="Times New Roman"/>
          <w:szCs w:val="24"/>
          <w:lang w:val="es-ES_tradnl" w:eastAsia="es-ES"/>
        </w:rPr>
        <w:t>Al 31 de diciembre de 2020</w:t>
      </w:r>
      <w:r w:rsidR="008E3E27" w:rsidRPr="008E3E27">
        <w:rPr>
          <w:rFonts w:eastAsia="Times New Roman" w:cs="Times New Roman"/>
          <w:szCs w:val="24"/>
          <w:lang w:val="es-ES_tradnl" w:eastAsia="es-ES"/>
        </w:rPr>
        <w:t>, al igu</w:t>
      </w:r>
      <w:r w:rsidR="00CD6198">
        <w:rPr>
          <w:rFonts w:eastAsia="Times New Roman" w:cs="Times New Roman"/>
          <w:szCs w:val="24"/>
          <w:lang w:val="es-ES_tradnl" w:eastAsia="es-ES"/>
        </w:rPr>
        <w:t>al que al 31 de</w:t>
      </w:r>
      <w:r>
        <w:rPr>
          <w:rFonts w:eastAsia="Times New Roman" w:cs="Times New Roman"/>
          <w:szCs w:val="24"/>
          <w:lang w:val="es-ES_tradnl" w:eastAsia="es-ES"/>
        </w:rPr>
        <w:t xml:space="preserve"> diciembre de 2019</w:t>
      </w:r>
      <w:r w:rsidR="008E3E27" w:rsidRPr="008E3E27">
        <w:rPr>
          <w:rFonts w:eastAsia="Times New Roman" w:cs="Times New Roman"/>
          <w:szCs w:val="24"/>
          <w:lang w:val="es-ES_tradnl" w:eastAsia="es-ES"/>
        </w:rPr>
        <w:t>, el accionariado estaba compuesto por:</w:t>
      </w:r>
    </w:p>
    <w:p w14:paraId="31C1296C"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tbl>
      <w:tblPr>
        <w:tblW w:w="5952" w:type="dxa"/>
        <w:tblInd w:w="1678" w:type="dxa"/>
        <w:tblCellMar>
          <w:left w:w="70" w:type="dxa"/>
          <w:right w:w="70" w:type="dxa"/>
        </w:tblCellMar>
        <w:tblLook w:val="0000" w:firstRow="0" w:lastRow="0" w:firstColumn="0" w:lastColumn="0" w:noHBand="0" w:noVBand="0"/>
      </w:tblPr>
      <w:tblGrid>
        <w:gridCol w:w="4180"/>
        <w:gridCol w:w="1772"/>
      </w:tblGrid>
      <w:tr w:rsidR="008E3E27" w:rsidRPr="008E3E27" w14:paraId="7F321F18" w14:textId="77777777" w:rsidTr="00052925">
        <w:trPr>
          <w:trHeight w:val="255"/>
        </w:trPr>
        <w:tc>
          <w:tcPr>
            <w:tcW w:w="4180" w:type="dxa"/>
            <w:tcBorders>
              <w:top w:val="nil"/>
              <w:left w:val="nil"/>
              <w:bottom w:val="nil"/>
              <w:right w:val="nil"/>
            </w:tcBorders>
            <w:shd w:val="clear" w:color="auto" w:fill="auto"/>
          </w:tcPr>
          <w:p w14:paraId="5A5EDEC9" w14:textId="77777777" w:rsidR="008E3E27" w:rsidRPr="008E3E27" w:rsidRDefault="008E3E27" w:rsidP="008E3E27">
            <w:pPr>
              <w:spacing w:after="0" w:line="240" w:lineRule="auto"/>
              <w:rPr>
                <w:rFonts w:eastAsia="Times New Roman" w:cs="Times New Roman"/>
                <w:szCs w:val="24"/>
                <w:lang w:eastAsia="es-E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495BAF6"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 participación</w:t>
            </w:r>
          </w:p>
        </w:tc>
      </w:tr>
      <w:tr w:rsidR="008E3E27" w:rsidRPr="008E3E27" w14:paraId="3080FFAF" w14:textId="77777777" w:rsidTr="00052925">
        <w:trPr>
          <w:trHeight w:val="255"/>
        </w:trPr>
        <w:tc>
          <w:tcPr>
            <w:tcW w:w="4180" w:type="dxa"/>
            <w:tcBorders>
              <w:top w:val="single" w:sz="4" w:space="0" w:color="auto"/>
              <w:left w:val="single" w:sz="4" w:space="0" w:color="auto"/>
              <w:bottom w:val="nil"/>
              <w:right w:val="single" w:sz="4" w:space="0" w:color="auto"/>
            </w:tcBorders>
            <w:shd w:val="clear" w:color="auto" w:fill="auto"/>
            <w:noWrap/>
            <w:vAlign w:val="bottom"/>
          </w:tcPr>
          <w:p w14:paraId="40DFD09B"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Sociedad Estatal de Participaciones Industriales</w:t>
            </w:r>
          </w:p>
        </w:tc>
        <w:tc>
          <w:tcPr>
            <w:tcW w:w="1772" w:type="dxa"/>
            <w:tcBorders>
              <w:top w:val="nil"/>
              <w:left w:val="nil"/>
              <w:bottom w:val="nil"/>
              <w:right w:val="single" w:sz="4" w:space="0" w:color="auto"/>
            </w:tcBorders>
            <w:shd w:val="clear" w:color="auto" w:fill="auto"/>
            <w:noWrap/>
            <w:vAlign w:val="bottom"/>
          </w:tcPr>
          <w:p w14:paraId="6552B1EF"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91,9625%</w:t>
            </w:r>
          </w:p>
        </w:tc>
      </w:tr>
      <w:tr w:rsidR="008E3E27" w:rsidRPr="008E3E27" w14:paraId="0432679F" w14:textId="77777777" w:rsidTr="00052925">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5FDD9897"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 xml:space="preserve">Fondo Español de Garantía Agraria </w:t>
            </w:r>
          </w:p>
        </w:tc>
        <w:tc>
          <w:tcPr>
            <w:tcW w:w="1772" w:type="dxa"/>
            <w:tcBorders>
              <w:top w:val="nil"/>
              <w:left w:val="nil"/>
              <w:bottom w:val="single" w:sz="4" w:space="0" w:color="auto"/>
              <w:right w:val="single" w:sz="4" w:space="0" w:color="auto"/>
            </w:tcBorders>
            <w:shd w:val="clear" w:color="auto" w:fill="auto"/>
            <w:noWrap/>
            <w:vAlign w:val="bottom"/>
          </w:tcPr>
          <w:p w14:paraId="5333C5A7"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8,0375%</w:t>
            </w:r>
          </w:p>
        </w:tc>
      </w:tr>
      <w:tr w:rsidR="008E3E27" w:rsidRPr="008E3E27" w14:paraId="46A3A860" w14:textId="77777777" w:rsidTr="00052925">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14:paraId="1CBDEAF9" w14:textId="77777777" w:rsidR="008E3E27" w:rsidRPr="008E3E27" w:rsidRDefault="008E3E27" w:rsidP="008E3E27">
            <w:pPr>
              <w:spacing w:after="0" w:line="240" w:lineRule="auto"/>
              <w:rPr>
                <w:rFonts w:eastAsia="Times New Roman" w:cs="Times New Roman"/>
                <w:szCs w:val="24"/>
                <w:lang w:eastAsia="es-ES"/>
              </w:rPr>
            </w:pPr>
            <w:r w:rsidRPr="008E3E27">
              <w:rPr>
                <w:rFonts w:eastAsia="Times New Roman" w:cs="Times New Roman"/>
                <w:szCs w:val="24"/>
                <w:lang w:eastAsia="es-ES"/>
              </w:rPr>
              <w:t>Total</w:t>
            </w:r>
          </w:p>
        </w:tc>
        <w:tc>
          <w:tcPr>
            <w:tcW w:w="1772" w:type="dxa"/>
            <w:tcBorders>
              <w:top w:val="nil"/>
              <w:left w:val="nil"/>
              <w:bottom w:val="single" w:sz="4" w:space="0" w:color="auto"/>
              <w:right w:val="single" w:sz="4" w:space="0" w:color="auto"/>
            </w:tcBorders>
            <w:shd w:val="clear" w:color="auto" w:fill="auto"/>
            <w:noWrap/>
            <w:vAlign w:val="bottom"/>
          </w:tcPr>
          <w:p w14:paraId="3CEC0C61" w14:textId="77777777" w:rsidR="008E3E27" w:rsidRPr="008E3E27" w:rsidRDefault="008E3E27" w:rsidP="008E3E27">
            <w:pPr>
              <w:spacing w:after="0" w:line="240" w:lineRule="auto"/>
              <w:jc w:val="right"/>
              <w:rPr>
                <w:rFonts w:eastAsia="Times New Roman" w:cs="Times New Roman"/>
                <w:szCs w:val="24"/>
                <w:lang w:eastAsia="es-ES"/>
              </w:rPr>
            </w:pPr>
            <w:r w:rsidRPr="008E3E27">
              <w:rPr>
                <w:rFonts w:eastAsia="Times New Roman" w:cs="Times New Roman"/>
                <w:szCs w:val="24"/>
                <w:lang w:eastAsia="es-ES"/>
              </w:rPr>
              <w:t>100,0000%</w:t>
            </w:r>
          </w:p>
        </w:tc>
      </w:tr>
    </w:tbl>
    <w:p w14:paraId="0F7F3B20"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1F0C02B5"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ACCIONES PROPIAS</w:t>
      </w:r>
    </w:p>
    <w:p w14:paraId="2AD0A98E"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22057139" w14:textId="7B08D245" w:rsidR="008E3E27" w:rsidRPr="008E3E27" w:rsidRDefault="005629A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r>
        <w:rPr>
          <w:rFonts w:eastAsia="Times New Roman" w:cs="Times New Roman"/>
          <w:szCs w:val="24"/>
          <w:lang w:val="es-ES_tradnl" w:eastAsia="es-ES"/>
        </w:rPr>
        <w:t>Durante los ejercicios 2020</w:t>
      </w:r>
      <w:r w:rsidR="008E3E27" w:rsidRPr="008E3E27">
        <w:rPr>
          <w:rFonts w:eastAsia="Times New Roman" w:cs="Times New Roman"/>
          <w:szCs w:val="24"/>
          <w:lang w:val="es-ES_tradnl" w:eastAsia="es-ES"/>
        </w:rPr>
        <w:t xml:space="preserve"> y 201</w:t>
      </w:r>
      <w:r>
        <w:rPr>
          <w:rFonts w:eastAsia="Times New Roman" w:cs="Times New Roman"/>
          <w:szCs w:val="24"/>
          <w:lang w:val="es-ES_tradnl" w:eastAsia="es-ES"/>
        </w:rPr>
        <w:t>9</w:t>
      </w:r>
      <w:r w:rsidR="008E3E27" w:rsidRPr="008E3E27">
        <w:rPr>
          <w:rFonts w:eastAsia="Times New Roman" w:cs="Times New Roman"/>
          <w:szCs w:val="24"/>
          <w:lang w:val="es-ES_tradnl" w:eastAsia="es-ES"/>
        </w:rPr>
        <w:t>, no se ha realizado operación alguna con acciones propias.</w:t>
      </w:r>
    </w:p>
    <w:p w14:paraId="45D559DE"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24E58266"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 xml:space="preserve">PARTICIPACIÓN EN </w:t>
      </w:r>
      <w:smartTag w:uri="urn:schemas-microsoft-com:office:smarttags" w:element="PersonName">
        <w:smartTagPr>
          <w:attr w:name="ProductID" w:val="Ebro Foods"/>
        </w:smartTagPr>
        <w:r w:rsidRPr="008E3E27">
          <w:rPr>
            <w:rFonts w:eastAsia="Batang" w:cs="Times New Roman"/>
            <w:b/>
            <w:szCs w:val="24"/>
            <w:u w:val="single"/>
            <w:lang w:eastAsia="es-ES"/>
          </w:rPr>
          <w:t>EBRO FOODS</w:t>
        </w:r>
      </w:smartTag>
    </w:p>
    <w:p w14:paraId="13C85A59"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083ED344" w14:textId="39D1777A" w:rsidR="008E3E27" w:rsidRPr="008E3E27" w:rsidRDefault="008E3E27" w:rsidP="008E3E27">
      <w:pPr>
        <w:spacing w:after="0" w:line="240" w:lineRule="auto"/>
        <w:ind w:left="540"/>
        <w:jc w:val="both"/>
        <w:rPr>
          <w:rFonts w:eastAsia="Batang" w:cs="Times New Roman"/>
          <w:szCs w:val="24"/>
          <w:lang w:val="es-ES_tradnl" w:eastAsia="es-ES"/>
        </w:rPr>
      </w:pPr>
      <w:r w:rsidRPr="008E3E27">
        <w:rPr>
          <w:rFonts w:eastAsia="Batang" w:cs="Times New Roman"/>
          <w:szCs w:val="24"/>
          <w:lang w:val="es-ES_tradnl" w:eastAsia="es-ES"/>
        </w:rPr>
        <w:t>La participación en el capital social de EBRO FOODS de Alimentos y Ace</w:t>
      </w:r>
      <w:r w:rsidR="005629AA">
        <w:rPr>
          <w:rFonts w:eastAsia="Batang" w:cs="Times New Roman"/>
          <w:szCs w:val="24"/>
          <w:lang w:val="es-ES_tradnl" w:eastAsia="es-ES"/>
        </w:rPr>
        <w:t>ites, durante los ejercicios 2020</w:t>
      </w:r>
      <w:r w:rsidRPr="008E3E27">
        <w:rPr>
          <w:rFonts w:eastAsia="Batang" w:cs="Times New Roman"/>
          <w:szCs w:val="24"/>
          <w:lang w:val="es-ES_tradnl" w:eastAsia="es-ES"/>
        </w:rPr>
        <w:t xml:space="preserve"> y 201</w:t>
      </w:r>
      <w:r w:rsidR="005629AA">
        <w:rPr>
          <w:rFonts w:eastAsia="Batang" w:cs="Times New Roman"/>
          <w:szCs w:val="24"/>
          <w:lang w:val="es-ES_tradnl" w:eastAsia="es-ES"/>
        </w:rPr>
        <w:t>9</w:t>
      </w:r>
      <w:r w:rsidRPr="008E3E27">
        <w:rPr>
          <w:rFonts w:eastAsia="Batang" w:cs="Times New Roman"/>
          <w:szCs w:val="24"/>
          <w:lang w:val="es-ES_tradnl" w:eastAsia="es-ES"/>
        </w:rPr>
        <w:t>, ha sido del 10,360%, de acuerdo con lo expresado en la Memoria.</w:t>
      </w:r>
    </w:p>
    <w:p w14:paraId="6D3B7D64" w14:textId="77777777" w:rsidR="008E3E27" w:rsidRPr="008E3E27" w:rsidRDefault="008E3E27" w:rsidP="008E3E27">
      <w:pPr>
        <w:spacing w:after="0" w:line="240" w:lineRule="auto"/>
        <w:ind w:left="540"/>
        <w:jc w:val="both"/>
        <w:rPr>
          <w:rFonts w:eastAsia="Batang" w:cs="Times New Roman"/>
          <w:szCs w:val="24"/>
          <w:lang w:val="es-ES_tradnl" w:eastAsia="es-ES"/>
        </w:rPr>
      </w:pPr>
    </w:p>
    <w:p w14:paraId="1E464D2E" w14:textId="77777777" w:rsidR="008E3E27" w:rsidRPr="008E3E27" w:rsidRDefault="008E3E27" w:rsidP="008E3E27">
      <w:pPr>
        <w:spacing w:after="0" w:line="240" w:lineRule="auto"/>
        <w:ind w:left="540"/>
        <w:jc w:val="both"/>
        <w:rPr>
          <w:rFonts w:eastAsia="Batang" w:cs="Times New Roman"/>
          <w:szCs w:val="24"/>
          <w:lang w:val="es-ES_tradnl" w:eastAsia="es-ES"/>
        </w:rPr>
      </w:pPr>
    </w:p>
    <w:p w14:paraId="0A0BAE43"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USO DE INSTRUMENTOS FINANCIEROS DERIVADOS</w:t>
      </w:r>
    </w:p>
    <w:p w14:paraId="7D28FDED"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28A27924" w14:textId="192A3E22" w:rsidR="008E3E27" w:rsidRPr="008E3E27" w:rsidRDefault="005629A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r>
        <w:rPr>
          <w:rFonts w:eastAsia="Times New Roman" w:cs="Times New Roman"/>
          <w:szCs w:val="24"/>
          <w:lang w:val="es-ES_tradnl" w:eastAsia="es-ES"/>
        </w:rPr>
        <w:t>Al cierre del ejercicio 2020</w:t>
      </w:r>
      <w:r w:rsidR="008E3E27" w:rsidRPr="008E3E27">
        <w:rPr>
          <w:rFonts w:eastAsia="Times New Roman" w:cs="Times New Roman"/>
          <w:szCs w:val="24"/>
          <w:lang w:val="es-ES_tradnl" w:eastAsia="es-ES"/>
        </w:rPr>
        <w:t xml:space="preserve"> y 201</w:t>
      </w:r>
      <w:r>
        <w:rPr>
          <w:rFonts w:eastAsia="Times New Roman" w:cs="Times New Roman"/>
          <w:szCs w:val="24"/>
          <w:lang w:val="es-ES_tradnl" w:eastAsia="es-ES"/>
        </w:rPr>
        <w:t>9</w:t>
      </w:r>
      <w:r w:rsidR="008E3E27" w:rsidRPr="008E3E27">
        <w:rPr>
          <w:rFonts w:eastAsia="Times New Roman" w:cs="Times New Roman"/>
          <w:szCs w:val="24"/>
          <w:lang w:val="es-ES_tradnl" w:eastAsia="es-ES"/>
        </w:rPr>
        <w:t>, la Sociedad no mantiene instrumentos financieros derivados, ni los ha mantenido durante ambos ejercicios.</w:t>
      </w:r>
    </w:p>
    <w:p w14:paraId="7C0E2048" w14:textId="1A882661" w:rsid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74350551" w14:textId="3119E977" w:rsidR="00AC368A"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4A1E4994" w14:textId="06F99A52" w:rsidR="00AC368A"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30A1F051" w14:textId="4F8D1390" w:rsidR="00AC368A"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723467BB" w14:textId="5F7C6AC4" w:rsidR="00AC368A"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4318C888" w14:textId="28D1CF64" w:rsidR="00AC368A"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140DFBD5" w14:textId="77777777" w:rsidR="00AC368A" w:rsidRPr="008E3E27" w:rsidRDefault="00AC368A"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44F971ED" w14:textId="77777777" w:rsidR="008E3E27" w:rsidRPr="008E3E27" w:rsidRDefault="008E3E27" w:rsidP="008E3E27">
      <w:pPr>
        <w:numPr>
          <w:ilvl w:val="0"/>
          <w:numId w:val="13"/>
        </w:numPr>
        <w:tabs>
          <w:tab w:val="clear" w:pos="1080"/>
          <w:tab w:val="num" w:pos="540"/>
        </w:tabs>
        <w:spacing w:after="0" w:line="240" w:lineRule="auto"/>
        <w:ind w:left="540" w:hanging="540"/>
        <w:jc w:val="both"/>
        <w:rPr>
          <w:rFonts w:eastAsia="Batang" w:cs="Times New Roman"/>
          <w:b/>
          <w:szCs w:val="24"/>
          <w:u w:val="single"/>
          <w:lang w:eastAsia="es-ES"/>
        </w:rPr>
      </w:pPr>
      <w:r w:rsidRPr="008E3E27">
        <w:rPr>
          <w:rFonts w:eastAsia="Batang" w:cs="Times New Roman"/>
          <w:b/>
          <w:szCs w:val="24"/>
          <w:u w:val="single"/>
          <w:lang w:eastAsia="es-ES"/>
        </w:rPr>
        <w:t>PERIODO MEDIO DE PAGO A PROVEEDORES</w:t>
      </w:r>
    </w:p>
    <w:p w14:paraId="30947008" w14:textId="77777777" w:rsidR="008E3E27" w:rsidRPr="008E3E27" w:rsidRDefault="008E3E27" w:rsidP="008E3E27">
      <w:pPr>
        <w:spacing w:after="0" w:line="240" w:lineRule="auto"/>
        <w:ind w:left="540"/>
        <w:jc w:val="both"/>
        <w:rPr>
          <w:rFonts w:eastAsia="Batang" w:cs="Times New Roman"/>
          <w:b/>
          <w:szCs w:val="24"/>
          <w:u w:val="single"/>
          <w:lang w:eastAsia="es-ES"/>
        </w:rPr>
      </w:pPr>
    </w:p>
    <w:p w14:paraId="499AC211" w14:textId="77777777" w:rsidR="008E3E27" w:rsidRPr="008E3E27" w:rsidRDefault="008E3E27" w:rsidP="008E3E27">
      <w:pPr>
        <w:spacing w:after="0" w:line="240" w:lineRule="auto"/>
        <w:ind w:left="540"/>
        <w:jc w:val="both"/>
        <w:rPr>
          <w:rFonts w:eastAsia="Batang" w:cs="Times New Roman"/>
          <w:szCs w:val="24"/>
          <w:lang w:eastAsia="es-ES"/>
        </w:rPr>
      </w:pPr>
      <w:r w:rsidRPr="008E3E27">
        <w:rPr>
          <w:rFonts w:eastAsia="Batang" w:cs="Times New Roman"/>
          <w:szCs w:val="24"/>
          <w:lang w:eastAsia="es-ES"/>
        </w:rPr>
        <w:t>La disposición adicional quinta de la Ley Orgánica 2/ 2012, de 27 de abril, de Estabilidad Presupuestaria y Sostenibilidad Financiera establece que el plazo máximo para el pago</w:t>
      </w:r>
      <w:r w:rsidR="00DB45AB">
        <w:rPr>
          <w:rFonts w:eastAsia="Batang" w:cs="Times New Roman"/>
          <w:szCs w:val="24"/>
          <w:lang w:eastAsia="es-ES"/>
        </w:rPr>
        <w:t xml:space="preserve"> a</w:t>
      </w:r>
      <w:r w:rsidRPr="008E3E27">
        <w:rPr>
          <w:rFonts w:eastAsia="Batang" w:cs="Times New Roman"/>
          <w:szCs w:val="24"/>
          <w:lang w:eastAsia="es-ES"/>
        </w:rPr>
        <w:t xml:space="preserve"> proveedores para las entidades públicas empresariales, sociedades mercantiles y demás entes de derecho público dependientes de las administraciones públicas es de treinta días.</w:t>
      </w:r>
    </w:p>
    <w:p w14:paraId="5113D3E0" w14:textId="77777777" w:rsidR="008E3E27" w:rsidRPr="008E3E27" w:rsidRDefault="008E3E27" w:rsidP="008E3E27">
      <w:pPr>
        <w:spacing w:after="0" w:line="240" w:lineRule="auto"/>
        <w:ind w:left="540"/>
        <w:jc w:val="both"/>
        <w:rPr>
          <w:rFonts w:eastAsia="Batang" w:cs="Times New Roman"/>
          <w:szCs w:val="24"/>
          <w:lang w:eastAsia="es-ES"/>
        </w:rPr>
      </w:pPr>
    </w:p>
    <w:p w14:paraId="00B42014" w14:textId="77777777" w:rsidR="008E3E27" w:rsidRPr="008E3E27" w:rsidRDefault="00E1163C" w:rsidP="008E3E27">
      <w:pPr>
        <w:spacing w:after="0" w:line="240" w:lineRule="auto"/>
        <w:ind w:left="540"/>
        <w:jc w:val="both"/>
        <w:rPr>
          <w:rFonts w:eastAsia="Batang" w:cs="Times New Roman"/>
          <w:szCs w:val="24"/>
          <w:lang w:eastAsia="es-ES"/>
        </w:rPr>
      </w:pPr>
      <w:r>
        <w:rPr>
          <w:rFonts w:eastAsia="Batang" w:cs="Times New Roman"/>
          <w:szCs w:val="24"/>
          <w:lang w:eastAsia="es-ES"/>
        </w:rPr>
        <w:t>La Sociedad ha tomado</w:t>
      </w:r>
      <w:r w:rsidR="008E3E27" w:rsidRPr="008E3E27">
        <w:rPr>
          <w:rFonts w:eastAsia="Batang" w:cs="Times New Roman"/>
          <w:szCs w:val="24"/>
          <w:lang w:eastAsia="es-ES"/>
        </w:rPr>
        <w:t xml:space="preserve"> a lo largo del ejercicio las medidas necesarias para cumplir este plazo.</w:t>
      </w:r>
    </w:p>
    <w:p w14:paraId="193F61BB"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2F94FAD5"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01678FB1"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7D002E02"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0AF20DD6"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03097ED2" w14:textId="77777777" w:rsidR="008E3E27" w:rsidRPr="008E3E27" w:rsidRDefault="008E3E27" w:rsidP="008E3E27">
      <w:pPr>
        <w:keepLines/>
        <w:widowControl w:val="0"/>
        <w:tabs>
          <w:tab w:val="num" w:pos="1174"/>
        </w:tabs>
        <w:spacing w:after="0" w:line="240" w:lineRule="auto"/>
        <w:ind w:left="540" w:right="49"/>
        <w:jc w:val="both"/>
        <w:rPr>
          <w:rFonts w:eastAsia="Times New Roman" w:cs="Times New Roman"/>
          <w:szCs w:val="24"/>
          <w:lang w:val="es-ES_tradnl" w:eastAsia="es-ES"/>
        </w:rPr>
      </w:pPr>
    </w:p>
    <w:p w14:paraId="1E52FAFC" w14:textId="4024C4ED" w:rsidR="008E3E27" w:rsidRPr="008E3E27" w:rsidRDefault="00CD6198" w:rsidP="008E3E27">
      <w:pPr>
        <w:keepLines/>
        <w:widowControl w:val="0"/>
        <w:tabs>
          <w:tab w:val="num" w:pos="1174"/>
        </w:tabs>
        <w:spacing w:after="0" w:line="240" w:lineRule="auto"/>
        <w:ind w:left="540" w:right="49"/>
        <w:rPr>
          <w:rFonts w:eastAsia="Times New Roman" w:cs="Times New Roman"/>
          <w:szCs w:val="24"/>
          <w:lang w:val="es-ES_tradnl" w:eastAsia="es-ES"/>
        </w:rPr>
      </w:pPr>
      <w:r w:rsidRPr="00AE2A1E">
        <w:rPr>
          <w:rFonts w:eastAsia="Times New Roman" w:cs="Times New Roman"/>
          <w:szCs w:val="24"/>
          <w:lang w:val="es-ES_tradnl" w:eastAsia="es-ES"/>
        </w:rPr>
        <w:t>Madrid,</w:t>
      </w:r>
      <w:r w:rsidR="005629AA" w:rsidRPr="00AE2A1E">
        <w:rPr>
          <w:rFonts w:eastAsia="Times New Roman" w:cs="Times New Roman"/>
          <w:szCs w:val="24"/>
          <w:lang w:val="es-ES_tradnl" w:eastAsia="es-ES"/>
        </w:rPr>
        <w:t xml:space="preserve"> </w:t>
      </w:r>
      <w:r w:rsidR="00AE2A1E" w:rsidRPr="00AE2A1E">
        <w:rPr>
          <w:rFonts w:eastAsia="Times New Roman" w:cs="Times New Roman"/>
          <w:szCs w:val="24"/>
          <w:lang w:val="es-ES_tradnl" w:eastAsia="es-ES"/>
        </w:rPr>
        <w:t>11</w:t>
      </w:r>
      <w:r w:rsidRPr="00AE2A1E">
        <w:rPr>
          <w:rFonts w:eastAsia="Times New Roman" w:cs="Times New Roman"/>
          <w:szCs w:val="24"/>
          <w:lang w:val="es-ES_tradnl" w:eastAsia="es-ES"/>
        </w:rPr>
        <w:t xml:space="preserve"> de </w:t>
      </w:r>
      <w:r w:rsidR="000240AB" w:rsidRPr="00AE2A1E">
        <w:rPr>
          <w:rFonts w:eastAsia="Times New Roman" w:cs="Times New Roman"/>
          <w:szCs w:val="24"/>
          <w:lang w:val="es-ES_tradnl" w:eastAsia="es-ES"/>
        </w:rPr>
        <w:t>marzo</w:t>
      </w:r>
      <w:r w:rsidR="005629AA" w:rsidRPr="00AE2A1E">
        <w:rPr>
          <w:rFonts w:eastAsia="Times New Roman" w:cs="Times New Roman"/>
          <w:szCs w:val="24"/>
          <w:lang w:val="es-ES_tradnl" w:eastAsia="es-ES"/>
        </w:rPr>
        <w:t xml:space="preserve"> de 2021</w:t>
      </w:r>
      <w:r w:rsidR="008E3E27" w:rsidRPr="00AE2A1E">
        <w:rPr>
          <w:rFonts w:eastAsia="Times New Roman" w:cs="Times New Roman"/>
          <w:szCs w:val="24"/>
          <w:lang w:val="es-ES_tradnl" w:eastAsia="es-ES"/>
        </w:rPr>
        <w:t>.</w:t>
      </w:r>
    </w:p>
    <w:p w14:paraId="70734DF8" w14:textId="77777777" w:rsidR="008E3E27" w:rsidRPr="008E3E27" w:rsidRDefault="008E3E27" w:rsidP="008E3E27">
      <w:pPr>
        <w:spacing w:after="0" w:line="240" w:lineRule="auto"/>
        <w:jc w:val="center"/>
        <w:outlineLvl w:val="0"/>
        <w:rPr>
          <w:rFonts w:ascii="Arial" w:eastAsia="Times New Roman" w:hAnsi="Arial" w:cs="Times New Roman"/>
          <w:szCs w:val="24"/>
          <w:lang w:val="es-ES_tradnl" w:eastAsia="es-ES"/>
        </w:rPr>
      </w:pPr>
    </w:p>
    <w:p w14:paraId="12830B52" w14:textId="77777777" w:rsidR="00F90F97" w:rsidRDefault="00F90F97" w:rsidP="00BF49B9">
      <w:pPr>
        <w:spacing w:after="0" w:line="240" w:lineRule="auto"/>
      </w:pPr>
    </w:p>
    <w:p w14:paraId="485615BE" w14:textId="77777777" w:rsidR="00F90F97" w:rsidRDefault="00F90F97" w:rsidP="00BF49B9">
      <w:pPr>
        <w:spacing w:after="0" w:line="240" w:lineRule="auto"/>
      </w:pPr>
    </w:p>
    <w:sectPr w:rsidR="00F90F97" w:rsidSect="00F61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9B98D" w14:textId="77777777" w:rsidR="003B0C10" w:rsidRDefault="003B0C10" w:rsidP="00F90F97">
      <w:pPr>
        <w:spacing w:after="0" w:line="240" w:lineRule="auto"/>
      </w:pPr>
      <w:r>
        <w:separator/>
      </w:r>
    </w:p>
  </w:endnote>
  <w:endnote w:type="continuationSeparator" w:id="0">
    <w:p w14:paraId="41FA1458" w14:textId="77777777" w:rsidR="003B0C10" w:rsidRDefault="003B0C10" w:rsidP="00F9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8D8C" w14:textId="77777777" w:rsidR="00963617" w:rsidRDefault="009636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60618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DA3D17F" w14:textId="57743E29" w:rsidR="00AE2A1E" w:rsidRPr="00F90F97" w:rsidRDefault="00AE2A1E">
            <w:pPr>
              <w:pStyle w:val="Piedepgina"/>
              <w:jc w:val="right"/>
              <w:rPr>
                <w:sz w:val="18"/>
                <w:szCs w:val="18"/>
              </w:rPr>
            </w:pPr>
            <w:r w:rsidRPr="00F90F97">
              <w:rPr>
                <w:sz w:val="18"/>
                <w:szCs w:val="18"/>
              </w:rPr>
              <w:t xml:space="preserve">Página </w:t>
            </w:r>
            <w:r w:rsidRPr="00F90F97">
              <w:rPr>
                <w:b/>
                <w:bCs/>
                <w:sz w:val="18"/>
                <w:szCs w:val="18"/>
              </w:rPr>
              <w:fldChar w:fldCharType="begin"/>
            </w:r>
            <w:r w:rsidRPr="00F90F97">
              <w:rPr>
                <w:b/>
                <w:bCs/>
                <w:sz w:val="18"/>
                <w:szCs w:val="18"/>
              </w:rPr>
              <w:instrText>PAGE</w:instrText>
            </w:r>
            <w:r w:rsidRPr="00F90F97">
              <w:rPr>
                <w:b/>
                <w:bCs/>
                <w:sz w:val="18"/>
                <w:szCs w:val="18"/>
              </w:rPr>
              <w:fldChar w:fldCharType="separate"/>
            </w:r>
            <w:r w:rsidR="00963617">
              <w:rPr>
                <w:b/>
                <w:bCs/>
                <w:noProof/>
                <w:sz w:val="18"/>
                <w:szCs w:val="18"/>
              </w:rPr>
              <w:t>1</w:t>
            </w:r>
            <w:r w:rsidRPr="00F90F97">
              <w:rPr>
                <w:b/>
                <w:bCs/>
                <w:sz w:val="18"/>
                <w:szCs w:val="18"/>
              </w:rPr>
              <w:fldChar w:fldCharType="end"/>
            </w:r>
            <w:r w:rsidRPr="00F90F97">
              <w:rPr>
                <w:sz w:val="18"/>
                <w:szCs w:val="18"/>
              </w:rPr>
              <w:t xml:space="preserve"> de </w:t>
            </w:r>
            <w:r w:rsidRPr="00F90F97">
              <w:rPr>
                <w:b/>
                <w:bCs/>
                <w:sz w:val="18"/>
                <w:szCs w:val="18"/>
              </w:rPr>
              <w:fldChar w:fldCharType="begin"/>
            </w:r>
            <w:r w:rsidRPr="00F90F97">
              <w:rPr>
                <w:b/>
                <w:bCs/>
                <w:sz w:val="18"/>
                <w:szCs w:val="18"/>
              </w:rPr>
              <w:instrText>NUMPAGES</w:instrText>
            </w:r>
            <w:r w:rsidRPr="00F90F97">
              <w:rPr>
                <w:b/>
                <w:bCs/>
                <w:sz w:val="18"/>
                <w:szCs w:val="18"/>
              </w:rPr>
              <w:fldChar w:fldCharType="separate"/>
            </w:r>
            <w:r w:rsidR="00963617">
              <w:rPr>
                <w:b/>
                <w:bCs/>
                <w:noProof/>
                <w:sz w:val="18"/>
                <w:szCs w:val="18"/>
              </w:rPr>
              <w:t>28</w:t>
            </w:r>
            <w:r w:rsidRPr="00F90F97">
              <w:rPr>
                <w:b/>
                <w:bCs/>
                <w:sz w:val="18"/>
                <w:szCs w:val="18"/>
              </w:rPr>
              <w:fldChar w:fldCharType="end"/>
            </w:r>
          </w:p>
        </w:sdtContent>
      </w:sdt>
    </w:sdtContent>
  </w:sdt>
  <w:p w14:paraId="20A8CC6E" w14:textId="77777777" w:rsidR="00AE2A1E" w:rsidRDefault="00AE2A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EA7C5" w14:textId="77777777" w:rsidR="00963617" w:rsidRDefault="009636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98D8" w14:textId="77777777" w:rsidR="003B0C10" w:rsidRDefault="003B0C10" w:rsidP="00F90F97">
      <w:pPr>
        <w:spacing w:after="0" w:line="240" w:lineRule="auto"/>
      </w:pPr>
      <w:r>
        <w:separator/>
      </w:r>
    </w:p>
  </w:footnote>
  <w:footnote w:type="continuationSeparator" w:id="0">
    <w:p w14:paraId="02C563ED" w14:textId="77777777" w:rsidR="003B0C10" w:rsidRDefault="003B0C10" w:rsidP="00F9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9520" w14:textId="77777777" w:rsidR="00963617" w:rsidRDefault="009636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E009" w14:textId="77777777" w:rsidR="00AE2A1E" w:rsidRDefault="00AE2A1E" w:rsidP="00F90F97">
    <w:pPr>
      <w:pStyle w:val="Encabezado"/>
      <w:ind w:lef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DB1C" w14:textId="77777777" w:rsidR="00963617" w:rsidRDefault="009636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77C5192"/>
    <w:lvl w:ilvl="0">
      <w:start w:val="1"/>
      <w:numFmt w:val="decimal"/>
      <w:pStyle w:val="Listaconnmeros"/>
      <w:lvlText w:val="%1."/>
      <w:lvlJc w:val="left"/>
      <w:pPr>
        <w:tabs>
          <w:tab w:val="num" w:pos="360"/>
        </w:tabs>
        <w:ind w:left="360" w:hanging="360"/>
      </w:pPr>
    </w:lvl>
  </w:abstractNum>
  <w:abstractNum w:abstractNumId="1" w15:restartNumberingAfterBreak="0">
    <w:nsid w:val="015B32F9"/>
    <w:multiLevelType w:val="hybridMultilevel"/>
    <w:tmpl w:val="843C617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4E273F3"/>
    <w:multiLevelType w:val="multilevel"/>
    <w:tmpl w:val="3724E59C"/>
    <w:lvl w:ilvl="0">
      <w:start w:val="7"/>
      <w:numFmt w:val="decimal"/>
      <w:lvlText w:val="%1"/>
      <w:lvlJc w:val="left"/>
      <w:pPr>
        <w:ind w:left="360" w:hanging="360"/>
      </w:pPr>
      <w:rPr>
        <w:rFonts w:hint="default"/>
      </w:rPr>
    </w:lvl>
    <w:lvl w:ilvl="1">
      <w:start w:val="4"/>
      <w:numFmt w:val="decimal"/>
      <w:lvlText w:val="%1.1"/>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8781360"/>
    <w:multiLevelType w:val="multilevel"/>
    <w:tmpl w:val="C8085250"/>
    <w:lvl w:ilvl="0">
      <w:start w:val="7"/>
      <w:numFmt w:val="decimal"/>
      <w:lvlText w:val="%1"/>
      <w:lvlJc w:val="left"/>
      <w:pPr>
        <w:ind w:left="360" w:hanging="360"/>
      </w:pPr>
      <w:rPr>
        <w:rFonts w:hint="default"/>
        <w:u w:val="none"/>
      </w:rPr>
    </w:lvl>
    <w:lvl w:ilvl="1">
      <w:start w:val="3"/>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4" w15:restartNumberingAfterBreak="0">
    <w:nsid w:val="0CE14076"/>
    <w:multiLevelType w:val="hybridMultilevel"/>
    <w:tmpl w:val="7452E07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CC03AC"/>
    <w:multiLevelType w:val="multilevel"/>
    <w:tmpl w:val="256E5A2A"/>
    <w:lvl w:ilvl="0">
      <w:start w:val="1"/>
      <w:numFmt w:val="decimal"/>
      <w:lvlText w:val="%1."/>
      <w:lvlJc w:val="left"/>
      <w:pPr>
        <w:tabs>
          <w:tab w:val="num" w:pos="8280"/>
        </w:tabs>
        <w:ind w:left="8280" w:hanging="360"/>
      </w:pPr>
      <w:rPr>
        <w:rFonts w:hint="default"/>
      </w:rPr>
    </w:lvl>
    <w:lvl w:ilvl="1">
      <w:start w:val="1"/>
      <w:numFmt w:val="decimal"/>
      <w:lvlRestart w:val="0"/>
      <w:lvlText w:val="%1.%2."/>
      <w:lvlJc w:val="left"/>
      <w:pPr>
        <w:tabs>
          <w:tab w:val="num" w:pos="858"/>
        </w:tabs>
        <w:ind w:left="858"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8B3526"/>
    <w:multiLevelType w:val="hybridMultilevel"/>
    <w:tmpl w:val="85708E98"/>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4C6714"/>
    <w:multiLevelType w:val="multilevel"/>
    <w:tmpl w:val="40F44130"/>
    <w:lvl w:ilvl="0">
      <w:start w:val="7"/>
      <w:numFmt w:val="decimal"/>
      <w:lvlText w:val="%1."/>
      <w:lvlJc w:val="left"/>
      <w:pPr>
        <w:tabs>
          <w:tab w:val="num" w:pos="8280"/>
        </w:tabs>
        <w:ind w:left="8280" w:hanging="360"/>
      </w:pPr>
      <w:rPr>
        <w:rFonts w:hint="default"/>
      </w:rPr>
    </w:lvl>
    <w:lvl w:ilvl="1">
      <w:start w:val="1"/>
      <w:numFmt w:val="decimal"/>
      <w:lvlRestart w:val="0"/>
      <w:lvlText w:val="%1.%2."/>
      <w:lvlJc w:val="left"/>
      <w:pPr>
        <w:tabs>
          <w:tab w:val="num" w:pos="858"/>
        </w:tabs>
        <w:ind w:left="858"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871B71"/>
    <w:multiLevelType w:val="multilevel"/>
    <w:tmpl w:val="3724E59C"/>
    <w:lvl w:ilvl="0">
      <w:start w:val="7"/>
      <w:numFmt w:val="decimal"/>
      <w:lvlText w:val="%1"/>
      <w:lvlJc w:val="left"/>
      <w:pPr>
        <w:ind w:left="360" w:hanging="360"/>
      </w:pPr>
      <w:rPr>
        <w:rFonts w:hint="default"/>
      </w:rPr>
    </w:lvl>
    <w:lvl w:ilvl="1">
      <w:start w:val="4"/>
      <w:numFmt w:val="decimal"/>
      <w:lvlText w:val="%1.1"/>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2D2D62F7"/>
    <w:multiLevelType w:val="hybridMultilevel"/>
    <w:tmpl w:val="1062F600"/>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DE5242"/>
    <w:multiLevelType w:val="multilevel"/>
    <w:tmpl w:val="E09416F6"/>
    <w:lvl w:ilvl="0">
      <w:start w:val="7"/>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F5D344A"/>
    <w:multiLevelType w:val="hybridMultilevel"/>
    <w:tmpl w:val="83B4EFF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1110C8F"/>
    <w:multiLevelType w:val="hybridMultilevel"/>
    <w:tmpl w:val="FF888BBA"/>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DC0802"/>
    <w:multiLevelType w:val="multilevel"/>
    <w:tmpl w:val="30AC92DA"/>
    <w:lvl w:ilvl="0">
      <w:start w:val="7"/>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14" w15:restartNumberingAfterBreak="0">
    <w:nsid w:val="34DD3C69"/>
    <w:multiLevelType w:val="multilevel"/>
    <w:tmpl w:val="8BE8D02A"/>
    <w:lvl w:ilvl="0">
      <w:start w:val="7"/>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CA016BB"/>
    <w:multiLevelType w:val="hybridMultilevel"/>
    <w:tmpl w:val="5A2A866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41731110"/>
    <w:multiLevelType w:val="hybridMultilevel"/>
    <w:tmpl w:val="EA2C18E8"/>
    <w:lvl w:ilvl="0" w:tplc="0C0A000F">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4D4221B4"/>
    <w:multiLevelType w:val="hybridMultilevel"/>
    <w:tmpl w:val="83B4EFF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5E32CCA"/>
    <w:multiLevelType w:val="hybridMultilevel"/>
    <w:tmpl w:val="1062F600"/>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9020F1"/>
    <w:multiLevelType w:val="hybridMultilevel"/>
    <w:tmpl w:val="0F20A428"/>
    <w:lvl w:ilvl="0" w:tplc="0C0A000F">
      <w:start w:val="1"/>
      <w:numFmt w:val="decimal"/>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5E505E4B"/>
    <w:multiLevelType w:val="multilevel"/>
    <w:tmpl w:val="480C40CA"/>
    <w:lvl w:ilvl="0">
      <w:start w:val="7"/>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21" w15:restartNumberingAfterBreak="0">
    <w:nsid w:val="5E907718"/>
    <w:multiLevelType w:val="multilevel"/>
    <w:tmpl w:val="C8085250"/>
    <w:lvl w:ilvl="0">
      <w:start w:val="7"/>
      <w:numFmt w:val="decimal"/>
      <w:lvlText w:val="%1"/>
      <w:lvlJc w:val="left"/>
      <w:pPr>
        <w:ind w:left="360" w:hanging="360"/>
      </w:pPr>
      <w:rPr>
        <w:rFonts w:hint="default"/>
        <w:u w:val="none"/>
      </w:rPr>
    </w:lvl>
    <w:lvl w:ilvl="1">
      <w:start w:val="3"/>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22" w15:restartNumberingAfterBreak="0">
    <w:nsid w:val="62E4153B"/>
    <w:multiLevelType w:val="multilevel"/>
    <w:tmpl w:val="256E5A2A"/>
    <w:lvl w:ilvl="0">
      <w:start w:val="1"/>
      <w:numFmt w:val="decimal"/>
      <w:lvlText w:val="%1."/>
      <w:lvlJc w:val="left"/>
      <w:pPr>
        <w:tabs>
          <w:tab w:val="num" w:pos="8280"/>
        </w:tabs>
        <w:ind w:left="828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5472B25"/>
    <w:multiLevelType w:val="multilevel"/>
    <w:tmpl w:val="30AC92DA"/>
    <w:lvl w:ilvl="0">
      <w:start w:val="7"/>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24" w15:restartNumberingAfterBreak="0">
    <w:nsid w:val="6DA64766"/>
    <w:multiLevelType w:val="hybridMultilevel"/>
    <w:tmpl w:val="BA8AF90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2250"/>
        </w:tabs>
        <w:ind w:left="2250" w:hanging="360"/>
      </w:pPr>
      <w:rPr>
        <w:rFonts w:ascii="Courier New" w:hAnsi="Courier New" w:cs="Courier New" w:hint="default"/>
      </w:rPr>
    </w:lvl>
    <w:lvl w:ilvl="2" w:tplc="0C0A0005" w:tentative="1">
      <w:start w:val="1"/>
      <w:numFmt w:val="bullet"/>
      <w:lvlText w:val=""/>
      <w:lvlJc w:val="left"/>
      <w:pPr>
        <w:tabs>
          <w:tab w:val="num" w:pos="2970"/>
        </w:tabs>
        <w:ind w:left="2970" w:hanging="360"/>
      </w:pPr>
      <w:rPr>
        <w:rFonts w:ascii="Wingdings" w:hAnsi="Wingdings" w:hint="default"/>
      </w:rPr>
    </w:lvl>
    <w:lvl w:ilvl="3" w:tplc="0C0A0001" w:tentative="1">
      <w:start w:val="1"/>
      <w:numFmt w:val="bullet"/>
      <w:lvlText w:val=""/>
      <w:lvlJc w:val="left"/>
      <w:pPr>
        <w:tabs>
          <w:tab w:val="num" w:pos="3690"/>
        </w:tabs>
        <w:ind w:left="3690" w:hanging="360"/>
      </w:pPr>
      <w:rPr>
        <w:rFonts w:ascii="Symbol" w:hAnsi="Symbol" w:hint="default"/>
      </w:rPr>
    </w:lvl>
    <w:lvl w:ilvl="4" w:tplc="0C0A0003" w:tentative="1">
      <w:start w:val="1"/>
      <w:numFmt w:val="bullet"/>
      <w:lvlText w:val="o"/>
      <w:lvlJc w:val="left"/>
      <w:pPr>
        <w:tabs>
          <w:tab w:val="num" w:pos="4410"/>
        </w:tabs>
        <w:ind w:left="4410" w:hanging="360"/>
      </w:pPr>
      <w:rPr>
        <w:rFonts w:ascii="Courier New" w:hAnsi="Courier New" w:cs="Courier New" w:hint="default"/>
      </w:rPr>
    </w:lvl>
    <w:lvl w:ilvl="5" w:tplc="0C0A0005" w:tentative="1">
      <w:start w:val="1"/>
      <w:numFmt w:val="bullet"/>
      <w:lvlText w:val=""/>
      <w:lvlJc w:val="left"/>
      <w:pPr>
        <w:tabs>
          <w:tab w:val="num" w:pos="5130"/>
        </w:tabs>
        <w:ind w:left="5130" w:hanging="360"/>
      </w:pPr>
      <w:rPr>
        <w:rFonts w:ascii="Wingdings" w:hAnsi="Wingdings" w:hint="default"/>
      </w:rPr>
    </w:lvl>
    <w:lvl w:ilvl="6" w:tplc="0C0A0001" w:tentative="1">
      <w:start w:val="1"/>
      <w:numFmt w:val="bullet"/>
      <w:lvlText w:val=""/>
      <w:lvlJc w:val="left"/>
      <w:pPr>
        <w:tabs>
          <w:tab w:val="num" w:pos="5850"/>
        </w:tabs>
        <w:ind w:left="5850" w:hanging="360"/>
      </w:pPr>
      <w:rPr>
        <w:rFonts w:ascii="Symbol" w:hAnsi="Symbol" w:hint="default"/>
      </w:rPr>
    </w:lvl>
    <w:lvl w:ilvl="7" w:tplc="0C0A0003" w:tentative="1">
      <w:start w:val="1"/>
      <w:numFmt w:val="bullet"/>
      <w:lvlText w:val="o"/>
      <w:lvlJc w:val="left"/>
      <w:pPr>
        <w:tabs>
          <w:tab w:val="num" w:pos="6570"/>
        </w:tabs>
        <w:ind w:left="6570" w:hanging="360"/>
      </w:pPr>
      <w:rPr>
        <w:rFonts w:ascii="Courier New" w:hAnsi="Courier New" w:cs="Courier New" w:hint="default"/>
      </w:rPr>
    </w:lvl>
    <w:lvl w:ilvl="8" w:tplc="0C0A0005" w:tentative="1">
      <w:start w:val="1"/>
      <w:numFmt w:val="bullet"/>
      <w:lvlText w:val=""/>
      <w:lvlJc w:val="left"/>
      <w:pPr>
        <w:tabs>
          <w:tab w:val="num" w:pos="7290"/>
        </w:tabs>
        <w:ind w:left="7290" w:hanging="360"/>
      </w:pPr>
      <w:rPr>
        <w:rFonts w:ascii="Wingdings" w:hAnsi="Wingdings" w:hint="default"/>
      </w:rPr>
    </w:lvl>
  </w:abstractNum>
  <w:abstractNum w:abstractNumId="25" w15:restartNumberingAfterBreak="0">
    <w:nsid w:val="70291506"/>
    <w:multiLevelType w:val="multilevel"/>
    <w:tmpl w:val="8BE8D02A"/>
    <w:lvl w:ilvl="0">
      <w:start w:val="7"/>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730C5757"/>
    <w:multiLevelType w:val="multilevel"/>
    <w:tmpl w:val="0818CE86"/>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73666845"/>
    <w:multiLevelType w:val="multilevel"/>
    <w:tmpl w:val="C8085250"/>
    <w:lvl w:ilvl="0">
      <w:start w:val="7"/>
      <w:numFmt w:val="decimal"/>
      <w:lvlText w:val="%1"/>
      <w:lvlJc w:val="left"/>
      <w:pPr>
        <w:ind w:left="360" w:hanging="360"/>
      </w:pPr>
      <w:rPr>
        <w:rFonts w:hint="default"/>
        <w:u w:val="none"/>
      </w:rPr>
    </w:lvl>
    <w:lvl w:ilvl="1">
      <w:start w:val="3"/>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2358" w:hanging="108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570" w:hanging="144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782" w:hanging="1800"/>
      </w:pPr>
      <w:rPr>
        <w:rFonts w:hint="default"/>
        <w:u w:val="none"/>
      </w:rPr>
    </w:lvl>
    <w:lvl w:ilvl="8">
      <w:start w:val="1"/>
      <w:numFmt w:val="decimal"/>
      <w:lvlText w:val="%1.%2.%3.%4.%5.%6.%7.%8.%9"/>
      <w:lvlJc w:val="left"/>
      <w:pPr>
        <w:ind w:left="5208" w:hanging="1800"/>
      </w:pPr>
      <w:rPr>
        <w:rFonts w:hint="default"/>
        <w:u w:val="none"/>
      </w:rPr>
    </w:lvl>
  </w:abstractNum>
  <w:abstractNum w:abstractNumId="28" w15:restartNumberingAfterBreak="0">
    <w:nsid w:val="74571099"/>
    <w:multiLevelType w:val="hybridMultilevel"/>
    <w:tmpl w:val="AB48730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4E54DC7"/>
    <w:multiLevelType w:val="hybridMultilevel"/>
    <w:tmpl w:val="1B9C6E12"/>
    <w:lvl w:ilvl="0" w:tplc="75245ED2">
      <w:start w:val="1"/>
      <w:numFmt w:val="bullet"/>
      <w:lvlText w:val="-"/>
      <w:lvlJc w:val="left"/>
      <w:pPr>
        <w:ind w:left="1854" w:hanging="360"/>
      </w:pPr>
      <w:rPr>
        <w:rFonts w:ascii="Stencil" w:hAnsi="Stenci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0" w15:restartNumberingAfterBreak="0">
    <w:nsid w:val="7FF83045"/>
    <w:multiLevelType w:val="multilevel"/>
    <w:tmpl w:val="0818CE86"/>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24"/>
  </w:num>
  <w:num w:numId="3">
    <w:abstractNumId w:val="17"/>
  </w:num>
  <w:num w:numId="4">
    <w:abstractNumId w:val="11"/>
  </w:num>
  <w:num w:numId="5">
    <w:abstractNumId w:val="18"/>
  </w:num>
  <w:num w:numId="6">
    <w:abstractNumId w:val="9"/>
  </w:num>
  <w:num w:numId="7">
    <w:abstractNumId w:val="6"/>
  </w:num>
  <w:num w:numId="8">
    <w:abstractNumId w:val="22"/>
  </w:num>
  <w:num w:numId="9">
    <w:abstractNumId w:val="4"/>
  </w:num>
  <w:num w:numId="10">
    <w:abstractNumId w:val="29"/>
  </w:num>
  <w:num w:numId="11">
    <w:abstractNumId w:val="10"/>
  </w:num>
  <w:num w:numId="12">
    <w:abstractNumId w:val="12"/>
  </w:num>
  <w:num w:numId="13">
    <w:abstractNumId w:val="16"/>
  </w:num>
  <w:num w:numId="14">
    <w:abstractNumId w:val="0"/>
  </w:num>
  <w:num w:numId="15">
    <w:abstractNumId w:val="1"/>
  </w:num>
  <w:num w:numId="16">
    <w:abstractNumId w:val="30"/>
  </w:num>
  <w:num w:numId="17">
    <w:abstractNumId w:val="26"/>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25"/>
  </w:num>
  <w:num w:numId="23">
    <w:abstractNumId w:val="2"/>
  </w:num>
  <w:num w:numId="24">
    <w:abstractNumId w:val="8"/>
  </w:num>
  <w:num w:numId="25">
    <w:abstractNumId w:val="7"/>
  </w:num>
  <w:num w:numId="26">
    <w:abstractNumId w:val="20"/>
  </w:num>
  <w:num w:numId="27">
    <w:abstractNumId w:val="13"/>
  </w:num>
  <w:num w:numId="28">
    <w:abstractNumId w:val="21"/>
  </w:num>
  <w:num w:numId="29">
    <w:abstractNumId w:val="27"/>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97"/>
    <w:rsid w:val="00011C0B"/>
    <w:rsid w:val="00014661"/>
    <w:rsid w:val="0002050A"/>
    <w:rsid w:val="0002110D"/>
    <w:rsid w:val="000216F7"/>
    <w:rsid w:val="000240AB"/>
    <w:rsid w:val="0002742D"/>
    <w:rsid w:val="000369CD"/>
    <w:rsid w:val="00052925"/>
    <w:rsid w:val="000578C0"/>
    <w:rsid w:val="00061041"/>
    <w:rsid w:val="00064242"/>
    <w:rsid w:val="00076BDF"/>
    <w:rsid w:val="00083082"/>
    <w:rsid w:val="0008414D"/>
    <w:rsid w:val="00086475"/>
    <w:rsid w:val="000877B7"/>
    <w:rsid w:val="000A0917"/>
    <w:rsid w:val="000A37D5"/>
    <w:rsid w:val="000A51FB"/>
    <w:rsid w:val="000B235D"/>
    <w:rsid w:val="000B5D6A"/>
    <w:rsid w:val="000D3E27"/>
    <w:rsid w:val="000D7BFF"/>
    <w:rsid w:val="000F1476"/>
    <w:rsid w:val="000F4EE5"/>
    <w:rsid w:val="000F6167"/>
    <w:rsid w:val="000F765D"/>
    <w:rsid w:val="001002B0"/>
    <w:rsid w:val="001055C7"/>
    <w:rsid w:val="001062BB"/>
    <w:rsid w:val="00111FA9"/>
    <w:rsid w:val="001167B9"/>
    <w:rsid w:val="0012043B"/>
    <w:rsid w:val="00132539"/>
    <w:rsid w:val="00142990"/>
    <w:rsid w:val="0014473D"/>
    <w:rsid w:val="00147842"/>
    <w:rsid w:val="00147FFA"/>
    <w:rsid w:val="001562D3"/>
    <w:rsid w:val="0015716E"/>
    <w:rsid w:val="00160E8F"/>
    <w:rsid w:val="0016787A"/>
    <w:rsid w:val="0017200C"/>
    <w:rsid w:val="00177A8A"/>
    <w:rsid w:val="00195858"/>
    <w:rsid w:val="001A199E"/>
    <w:rsid w:val="001A3A0A"/>
    <w:rsid w:val="001A4029"/>
    <w:rsid w:val="001A682A"/>
    <w:rsid w:val="001A749D"/>
    <w:rsid w:val="001B0EA9"/>
    <w:rsid w:val="001B14AF"/>
    <w:rsid w:val="001B54DF"/>
    <w:rsid w:val="001B73A6"/>
    <w:rsid w:val="001D5C6A"/>
    <w:rsid w:val="001E02A1"/>
    <w:rsid w:val="001F032B"/>
    <w:rsid w:val="00200361"/>
    <w:rsid w:val="002134A0"/>
    <w:rsid w:val="0022690C"/>
    <w:rsid w:val="00232953"/>
    <w:rsid w:val="00232F27"/>
    <w:rsid w:val="002361D9"/>
    <w:rsid w:val="00237320"/>
    <w:rsid w:val="002422D5"/>
    <w:rsid w:val="00242D7D"/>
    <w:rsid w:val="00244B96"/>
    <w:rsid w:val="00266B3A"/>
    <w:rsid w:val="00266D9C"/>
    <w:rsid w:val="002728D5"/>
    <w:rsid w:val="002769D2"/>
    <w:rsid w:val="00281787"/>
    <w:rsid w:val="00294D88"/>
    <w:rsid w:val="00296414"/>
    <w:rsid w:val="002A3129"/>
    <w:rsid w:val="002A4DBD"/>
    <w:rsid w:val="002A5BDB"/>
    <w:rsid w:val="002A7568"/>
    <w:rsid w:val="002A756F"/>
    <w:rsid w:val="002B152F"/>
    <w:rsid w:val="002B48AF"/>
    <w:rsid w:val="002B7D08"/>
    <w:rsid w:val="002C285A"/>
    <w:rsid w:val="002C5672"/>
    <w:rsid w:val="002C777A"/>
    <w:rsid w:val="002C7AF0"/>
    <w:rsid w:val="002D1749"/>
    <w:rsid w:val="002D3CBD"/>
    <w:rsid w:val="002D4CD6"/>
    <w:rsid w:val="002D582B"/>
    <w:rsid w:val="002D6474"/>
    <w:rsid w:val="002D6F52"/>
    <w:rsid w:val="002E585B"/>
    <w:rsid w:val="002F7630"/>
    <w:rsid w:val="00300B46"/>
    <w:rsid w:val="00301FAE"/>
    <w:rsid w:val="003064DC"/>
    <w:rsid w:val="00307601"/>
    <w:rsid w:val="0032342E"/>
    <w:rsid w:val="00324506"/>
    <w:rsid w:val="00327105"/>
    <w:rsid w:val="00347200"/>
    <w:rsid w:val="003513A0"/>
    <w:rsid w:val="003575BD"/>
    <w:rsid w:val="00357FBF"/>
    <w:rsid w:val="0036214F"/>
    <w:rsid w:val="003622F7"/>
    <w:rsid w:val="00370761"/>
    <w:rsid w:val="00370CDC"/>
    <w:rsid w:val="00371877"/>
    <w:rsid w:val="00383F9A"/>
    <w:rsid w:val="003855ED"/>
    <w:rsid w:val="00393934"/>
    <w:rsid w:val="00393B09"/>
    <w:rsid w:val="003A489B"/>
    <w:rsid w:val="003A57D9"/>
    <w:rsid w:val="003B0C10"/>
    <w:rsid w:val="003B14A3"/>
    <w:rsid w:val="003B5F99"/>
    <w:rsid w:val="003B7300"/>
    <w:rsid w:val="003B78F1"/>
    <w:rsid w:val="003C45A4"/>
    <w:rsid w:val="003D1A74"/>
    <w:rsid w:val="003E1D63"/>
    <w:rsid w:val="003F5C3A"/>
    <w:rsid w:val="003F61F5"/>
    <w:rsid w:val="003F6CA4"/>
    <w:rsid w:val="003F751D"/>
    <w:rsid w:val="003F77FC"/>
    <w:rsid w:val="00407E4D"/>
    <w:rsid w:val="00410497"/>
    <w:rsid w:val="00413923"/>
    <w:rsid w:val="00430234"/>
    <w:rsid w:val="00432374"/>
    <w:rsid w:val="00434ED8"/>
    <w:rsid w:val="00436AE4"/>
    <w:rsid w:val="00454040"/>
    <w:rsid w:val="00454C99"/>
    <w:rsid w:val="00487632"/>
    <w:rsid w:val="0049477E"/>
    <w:rsid w:val="004A12B5"/>
    <w:rsid w:val="004A67D4"/>
    <w:rsid w:val="004B0202"/>
    <w:rsid w:val="004B0E71"/>
    <w:rsid w:val="004B6679"/>
    <w:rsid w:val="004C03B0"/>
    <w:rsid w:val="004C1208"/>
    <w:rsid w:val="004D3BFD"/>
    <w:rsid w:val="004E0030"/>
    <w:rsid w:val="004E1AC6"/>
    <w:rsid w:val="004E3E2B"/>
    <w:rsid w:val="004E5D9C"/>
    <w:rsid w:val="004E643B"/>
    <w:rsid w:val="004E7EBD"/>
    <w:rsid w:val="004F1344"/>
    <w:rsid w:val="004F4B56"/>
    <w:rsid w:val="00514B5A"/>
    <w:rsid w:val="00515A02"/>
    <w:rsid w:val="0052042E"/>
    <w:rsid w:val="00525A96"/>
    <w:rsid w:val="005272CC"/>
    <w:rsid w:val="00551C7D"/>
    <w:rsid w:val="005555B6"/>
    <w:rsid w:val="005629AA"/>
    <w:rsid w:val="00593685"/>
    <w:rsid w:val="00597C72"/>
    <w:rsid w:val="005A7E95"/>
    <w:rsid w:val="005B426A"/>
    <w:rsid w:val="005C4692"/>
    <w:rsid w:val="005D7165"/>
    <w:rsid w:val="005E0639"/>
    <w:rsid w:val="005E0AD7"/>
    <w:rsid w:val="005E6522"/>
    <w:rsid w:val="005F54D9"/>
    <w:rsid w:val="005F7131"/>
    <w:rsid w:val="0060032D"/>
    <w:rsid w:val="00606E41"/>
    <w:rsid w:val="00613FAA"/>
    <w:rsid w:val="00621450"/>
    <w:rsid w:val="00622CFF"/>
    <w:rsid w:val="00623903"/>
    <w:rsid w:val="00627E87"/>
    <w:rsid w:val="006304B7"/>
    <w:rsid w:val="00637BCB"/>
    <w:rsid w:val="006449F0"/>
    <w:rsid w:val="006500D8"/>
    <w:rsid w:val="00655E4D"/>
    <w:rsid w:val="00655F09"/>
    <w:rsid w:val="006570D9"/>
    <w:rsid w:val="00660A3E"/>
    <w:rsid w:val="00672DAA"/>
    <w:rsid w:val="00674130"/>
    <w:rsid w:val="006810A4"/>
    <w:rsid w:val="00684BF7"/>
    <w:rsid w:val="00686F41"/>
    <w:rsid w:val="0069321D"/>
    <w:rsid w:val="006A1B3B"/>
    <w:rsid w:val="006A29FE"/>
    <w:rsid w:val="006A2DBE"/>
    <w:rsid w:val="006A3C50"/>
    <w:rsid w:val="006B3D7F"/>
    <w:rsid w:val="006C6A70"/>
    <w:rsid w:val="006D7C34"/>
    <w:rsid w:val="006F07AE"/>
    <w:rsid w:val="006F650F"/>
    <w:rsid w:val="00704DB1"/>
    <w:rsid w:val="007066D2"/>
    <w:rsid w:val="00712336"/>
    <w:rsid w:val="00715C68"/>
    <w:rsid w:val="00723B0E"/>
    <w:rsid w:val="00726A5A"/>
    <w:rsid w:val="00730591"/>
    <w:rsid w:val="00732724"/>
    <w:rsid w:val="00736032"/>
    <w:rsid w:val="00737015"/>
    <w:rsid w:val="00740CBD"/>
    <w:rsid w:val="0074272B"/>
    <w:rsid w:val="007448BF"/>
    <w:rsid w:val="00763331"/>
    <w:rsid w:val="00766C97"/>
    <w:rsid w:val="00780ED7"/>
    <w:rsid w:val="0078408F"/>
    <w:rsid w:val="0078614D"/>
    <w:rsid w:val="00786BE0"/>
    <w:rsid w:val="00787200"/>
    <w:rsid w:val="00792930"/>
    <w:rsid w:val="00795A70"/>
    <w:rsid w:val="00795B29"/>
    <w:rsid w:val="007966D1"/>
    <w:rsid w:val="007A0C34"/>
    <w:rsid w:val="007A1865"/>
    <w:rsid w:val="007B3F13"/>
    <w:rsid w:val="007C561C"/>
    <w:rsid w:val="007D424E"/>
    <w:rsid w:val="007E23FE"/>
    <w:rsid w:val="007E4582"/>
    <w:rsid w:val="007F31C1"/>
    <w:rsid w:val="007F3818"/>
    <w:rsid w:val="008042E6"/>
    <w:rsid w:val="00814848"/>
    <w:rsid w:val="008154BA"/>
    <w:rsid w:val="008236AA"/>
    <w:rsid w:val="00826D68"/>
    <w:rsid w:val="00837914"/>
    <w:rsid w:val="0084113D"/>
    <w:rsid w:val="00841DA1"/>
    <w:rsid w:val="008435C6"/>
    <w:rsid w:val="00847B86"/>
    <w:rsid w:val="008539AC"/>
    <w:rsid w:val="00860CED"/>
    <w:rsid w:val="0086440E"/>
    <w:rsid w:val="008750E9"/>
    <w:rsid w:val="008856DD"/>
    <w:rsid w:val="00885E14"/>
    <w:rsid w:val="0089307C"/>
    <w:rsid w:val="00893EEC"/>
    <w:rsid w:val="008A079E"/>
    <w:rsid w:val="008B1A0B"/>
    <w:rsid w:val="008B1CEF"/>
    <w:rsid w:val="008B3B63"/>
    <w:rsid w:val="008B7975"/>
    <w:rsid w:val="008C4641"/>
    <w:rsid w:val="008C4EC7"/>
    <w:rsid w:val="008D26B2"/>
    <w:rsid w:val="008D406F"/>
    <w:rsid w:val="008D6C3B"/>
    <w:rsid w:val="008D7374"/>
    <w:rsid w:val="008E3E27"/>
    <w:rsid w:val="008E40EF"/>
    <w:rsid w:val="008E5225"/>
    <w:rsid w:val="008E7153"/>
    <w:rsid w:val="008F0C91"/>
    <w:rsid w:val="008F49CE"/>
    <w:rsid w:val="008F62C6"/>
    <w:rsid w:val="0090027C"/>
    <w:rsid w:val="00912ED3"/>
    <w:rsid w:val="00913512"/>
    <w:rsid w:val="00921990"/>
    <w:rsid w:val="0092595D"/>
    <w:rsid w:val="0093581A"/>
    <w:rsid w:val="009414E2"/>
    <w:rsid w:val="00955B9F"/>
    <w:rsid w:val="00956A10"/>
    <w:rsid w:val="00956A42"/>
    <w:rsid w:val="00963201"/>
    <w:rsid w:val="00963617"/>
    <w:rsid w:val="009724AA"/>
    <w:rsid w:val="009822C2"/>
    <w:rsid w:val="0098461A"/>
    <w:rsid w:val="009859A3"/>
    <w:rsid w:val="00986698"/>
    <w:rsid w:val="00986DCD"/>
    <w:rsid w:val="00990849"/>
    <w:rsid w:val="009932A3"/>
    <w:rsid w:val="009A0B8A"/>
    <w:rsid w:val="009A712D"/>
    <w:rsid w:val="009A736F"/>
    <w:rsid w:val="009B6BC9"/>
    <w:rsid w:val="009B6F21"/>
    <w:rsid w:val="009B726B"/>
    <w:rsid w:val="009C0E6E"/>
    <w:rsid w:val="009D0139"/>
    <w:rsid w:val="009D2E93"/>
    <w:rsid w:val="009D45C3"/>
    <w:rsid w:val="009E5580"/>
    <w:rsid w:val="009E7249"/>
    <w:rsid w:val="00A13ECF"/>
    <w:rsid w:val="00A21A19"/>
    <w:rsid w:val="00A2232E"/>
    <w:rsid w:val="00A25DD9"/>
    <w:rsid w:val="00A267FF"/>
    <w:rsid w:val="00A26B6D"/>
    <w:rsid w:val="00A3126F"/>
    <w:rsid w:val="00A33A56"/>
    <w:rsid w:val="00A37591"/>
    <w:rsid w:val="00A40447"/>
    <w:rsid w:val="00A43829"/>
    <w:rsid w:val="00A43B1E"/>
    <w:rsid w:val="00A43DEE"/>
    <w:rsid w:val="00A444A8"/>
    <w:rsid w:val="00A47640"/>
    <w:rsid w:val="00A52272"/>
    <w:rsid w:val="00A558D1"/>
    <w:rsid w:val="00A57871"/>
    <w:rsid w:val="00A60E1F"/>
    <w:rsid w:val="00A63166"/>
    <w:rsid w:val="00A65351"/>
    <w:rsid w:val="00A66611"/>
    <w:rsid w:val="00A72445"/>
    <w:rsid w:val="00A73026"/>
    <w:rsid w:val="00A748DB"/>
    <w:rsid w:val="00A93969"/>
    <w:rsid w:val="00A94CE3"/>
    <w:rsid w:val="00AA1B4F"/>
    <w:rsid w:val="00AA2852"/>
    <w:rsid w:val="00AA5274"/>
    <w:rsid w:val="00AB15AF"/>
    <w:rsid w:val="00AB5278"/>
    <w:rsid w:val="00AC22C1"/>
    <w:rsid w:val="00AC2A83"/>
    <w:rsid w:val="00AC368A"/>
    <w:rsid w:val="00AD4D5A"/>
    <w:rsid w:val="00AE2A1E"/>
    <w:rsid w:val="00AE4163"/>
    <w:rsid w:val="00AE4DA8"/>
    <w:rsid w:val="00AE6F2D"/>
    <w:rsid w:val="00AE73FD"/>
    <w:rsid w:val="00AE7FF0"/>
    <w:rsid w:val="00AF1176"/>
    <w:rsid w:val="00B10AE4"/>
    <w:rsid w:val="00B11EA8"/>
    <w:rsid w:val="00B1334E"/>
    <w:rsid w:val="00B16CE3"/>
    <w:rsid w:val="00B217DE"/>
    <w:rsid w:val="00B22C48"/>
    <w:rsid w:val="00B256F3"/>
    <w:rsid w:val="00B32F4E"/>
    <w:rsid w:val="00B334D4"/>
    <w:rsid w:val="00B34D4D"/>
    <w:rsid w:val="00B3779B"/>
    <w:rsid w:val="00B4333E"/>
    <w:rsid w:val="00B45575"/>
    <w:rsid w:val="00B503CC"/>
    <w:rsid w:val="00B52E0A"/>
    <w:rsid w:val="00B659C7"/>
    <w:rsid w:val="00B712DA"/>
    <w:rsid w:val="00B720B1"/>
    <w:rsid w:val="00B74000"/>
    <w:rsid w:val="00B80209"/>
    <w:rsid w:val="00B862C9"/>
    <w:rsid w:val="00B92FD0"/>
    <w:rsid w:val="00B95196"/>
    <w:rsid w:val="00BB497C"/>
    <w:rsid w:val="00BB4C46"/>
    <w:rsid w:val="00BB7CA2"/>
    <w:rsid w:val="00BC0F5B"/>
    <w:rsid w:val="00BC3D73"/>
    <w:rsid w:val="00BC457B"/>
    <w:rsid w:val="00BC6821"/>
    <w:rsid w:val="00BD0ACD"/>
    <w:rsid w:val="00BD7039"/>
    <w:rsid w:val="00BD7E6E"/>
    <w:rsid w:val="00BF2961"/>
    <w:rsid w:val="00BF3527"/>
    <w:rsid w:val="00BF3B3B"/>
    <w:rsid w:val="00BF49B9"/>
    <w:rsid w:val="00BF5B6B"/>
    <w:rsid w:val="00C02EAE"/>
    <w:rsid w:val="00C05B9D"/>
    <w:rsid w:val="00C061F1"/>
    <w:rsid w:val="00C0659D"/>
    <w:rsid w:val="00C06ACA"/>
    <w:rsid w:val="00C173E3"/>
    <w:rsid w:val="00C21B41"/>
    <w:rsid w:val="00C24F43"/>
    <w:rsid w:val="00C253DB"/>
    <w:rsid w:val="00C26A28"/>
    <w:rsid w:val="00C3341B"/>
    <w:rsid w:val="00C33C34"/>
    <w:rsid w:val="00C34538"/>
    <w:rsid w:val="00C37EF9"/>
    <w:rsid w:val="00C5078E"/>
    <w:rsid w:val="00C50A54"/>
    <w:rsid w:val="00C51E66"/>
    <w:rsid w:val="00C52C96"/>
    <w:rsid w:val="00C53BF2"/>
    <w:rsid w:val="00C56865"/>
    <w:rsid w:val="00C57E0C"/>
    <w:rsid w:val="00C6071D"/>
    <w:rsid w:val="00C60DEA"/>
    <w:rsid w:val="00C6588F"/>
    <w:rsid w:val="00C6770A"/>
    <w:rsid w:val="00C714AB"/>
    <w:rsid w:val="00C75A0F"/>
    <w:rsid w:val="00C766F7"/>
    <w:rsid w:val="00C84039"/>
    <w:rsid w:val="00C841E8"/>
    <w:rsid w:val="00C86E68"/>
    <w:rsid w:val="00C86F98"/>
    <w:rsid w:val="00C9093C"/>
    <w:rsid w:val="00C91A94"/>
    <w:rsid w:val="00C96620"/>
    <w:rsid w:val="00CA09A2"/>
    <w:rsid w:val="00CA1A65"/>
    <w:rsid w:val="00CA3EEC"/>
    <w:rsid w:val="00CA48C6"/>
    <w:rsid w:val="00CA6C6C"/>
    <w:rsid w:val="00CB494A"/>
    <w:rsid w:val="00CD4E8E"/>
    <w:rsid w:val="00CD6198"/>
    <w:rsid w:val="00CE4ECE"/>
    <w:rsid w:val="00CE55F0"/>
    <w:rsid w:val="00CF2C83"/>
    <w:rsid w:val="00CF69C3"/>
    <w:rsid w:val="00CF6CD6"/>
    <w:rsid w:val="00CF7D08"/>
    <w:rsid w:val="00D00E85"/>
    <w:rsid w:val="00D045B2"/>
    <w:rsid w:val="00D054C0"/>
    <w:rsid w:val="00D1016B"/>
    <w:rsid w:val="00D1416F"/>
    <w:rsid w:val="00D14F99"/>
    <w:rsid w:val="00D24EC1"/>
    <w:rsid w:val="00D255E9"/>
    <w:rsid w:val="00D375A5"/>
    <w:rsid w:val="00D4176D"/>
    <w:rsid w:val="00D41A2A"/>
    <w:rsid w:val="00D41FEF"/>
    <w:rsid w:val="00D607C0"/>
    <w:rsid w:val="00D620A7"/>
    <w:rsid w:val="00D65E8D"/>
    <w:rsid w:val="00D67AF6"/>
    <w:rsid w:val="00D7397B"/>
    <w:rsid w:val="00D819BE"/>
    <w:rsid w:val="00D900DB"/>
    <w:rsid w:val="00D93E28"/>
    <w:rsid w:val="00D97729"/>
    <w:rsid w:val="00DB0E9D"/>
    <w:rsid w:val="00DB2089"/>
    <w:rsid w:val="00DB3C58"/>
    <w:rsid w:val="00DB45AB"/>
    <w:rsid w:val="00DB6855"/>
    <w:rsid w:val="00DB6BCB"/>
    <w:rsid w:val="00DC146F"/>
    <w:rsid w:val="00DC1F42"/>
    <w:rsid w:val="00DC25A3"/>
    <w:rsid w:val="00DC3727"/>
    <w:rsid w:val="00DD388C"/>
    <w:rsid w:val="00DE4673"/>
    <w:rsid w:val="00DF027C"/>
    <w:rsid w:val="00DF6D9C"/>
    <w:rsid w:val="00E01B95"/>
    <w:rsid w:val="00E10A82"/>
    <w:rsid w:val="00E1163C"/>
    <w:rsid w:val="00E14266"/>
    <w:rsid w:val="00E16436"/>
    <w:rsid w:val="00E21759"/>
    <w:rsid w:val="00E2459D"/>
    <w:rsid w:val="00E53275"/>
    <w:rsid w:val="00E57D23"/>
    <w:rsid w:val="00E6335A"/>
    <w:rsid w:val="00E8243D"/>
    <w:rsid w:val="00E849BE"/>
    <w:rsid w:val="00E8635A"/>
    <w:rsid w:val="00E90325"/>
    <w:rsid w:val="00E92E0C"/>
    <w:rsid w:val="00E9699F"/>
    <w:rsid w:val="00E972B1"/>
    <w:rsid w:val="00EA13F3"/>
    <w:rsid w:val="00EA40C3"/>
    <w:rsid w:val="00EA4821"/>
    <w:rsid w:val="00EA4A72"/>
    <w:rsid w:val="00EB55BF"/>
    <w:rsid w:val="00EC043E"/>
    <w:rsid w:val="00EC2773"/>
    <w:rsid w:val="00EC619C"/>
    <w:rsid w:val="00EC70DA"/>
    <w:rsid w:val="00ED4873"/>
    <w:rsid w:val="00ED5BBB"/>
    <w:rsid w:val="00ED65C1"/>
    <w:rsid w:val="00ED775E"/>
    <w:rsid w:val="00EF53B5"/>
    <w:rsid w:val="00F01AE1"/>
    <w:rsid w:val="00F02EA0"/>
    <w:rsid w:val="00F17300"/>
    <w:rsid w:val="00F21ECE"/>
    <w:rsid w:val="00F25F25"/>
    <w:rsid w:val="00F308DC"/>
    <w:rsid w:val="00F35F1B"/>
    <w:rsid w:val="00F403C9"/>
    <w:rsid w:val="00F429C8"/>
    <w:rsid w:val="00F61EA2"/>
    <w:rsid w:val="00F62425"/>
    <w:rsid w:val="00F83AA6"/>
    <w:rsid w:val="00F86B3E"/>
    <w:rsid w:val="00F90946"/>
    <w:rsid w:val="00F90F97"/>
    <w:rsid w:val="00F945C0"/>
    <w:rsid w:val="00F95186"/>
    <w:rsid w:val="00FA27B9"/>
    <w:rsid w:val="00FA27E9"/>
    <w:rsid w:val="00FA3C9E"/>
    <w:rsid w:val="00FA44A6"/>
    <w:rsid w:val="00FA7D49"/>
    <w:rsid w:val="00FB3EB3"/>
    <w:rsid w:val="00FB6DB3"/>
    <w:rsid w:val="00FC0797"/>
    <w:rsid w:val="00FD3671"/>
    <w:rsid w:val="00FD3D23"/>
    <w:rsid w:val="00FD6E59"/>
    <w:rsid w:val="00FE5804"/>
    <w:rsid w:val="00FE6D53"/>
    <w:rsid w:val="00FE7F38"/>
    <w:rsid w:val="00FF1BB8"/>
    <w:rsid w:val="00FF2F82"/>
    <w:rsid w:val="00FF6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04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A2"/>
  </w:style>
  <w:style w:type="paragraph" w:styleId="Ttulo1">
    <w:name w:val="heading 1"/>
    <w:basedOn w:val="Normal"/>
    <w:next w:val="Normal"/>
    <w:link w:val="Ttulo1Car"/>
    <w:uiPriority w:val="9"/>
    <w:qFormat/>
    <w:rsid w:val="004C0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E3E2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qFormat/>
    <w:rsid w:val="005272CC"/>
    <w:pPr>
      <w:keepNext/>
      <w:spacing w:after="0" w:line="240" w:lineRule="auto"/>
      <w:ind w:left="360"/>
      <w:outlineLvl w:val="4"/>
    </w:pPr>
    <w:rPr>
      <w:rFonts w:ascii="Batang" w:eastAsia="Times New Roman" w:hAnsi="Batang" w:cs="Times New Roman"/>
      <w:b/>
      <w:bCs/>
      <w:sz w:val="18"/>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F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0F97"/>
  </w:style>
  <w:style w:type="paragraph" w:styleId="Piedepgina">
    <w:name w:val="footer"/>
    <w:basedOn w:val="Normal"/>
    <w:link w:val="PiedepginaCar"/>
    <w:uiPriority w:val="99"/>
    <w:unhideWhenUsed/>
    <w:rsid w:val="00F90F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0F97"/>
  </w:style>
  <w:style w:type="paragraph" w:customStyle="1" w:styleId="tn">
    <w:name w:val="t n"/>
    <w:basedOn w:val="Normal"/>
    <w:rsid w:val="00E16436"/>
    <w:pPr>
      <w:overflowPunct w:val="0"/>
      <w:autoSpaceDE w:val="0"/>
      <w:autoSpaceDN w:val="0"/>
      <w:adjustRightInd w:val="0"/>
      <w:spacing w:before="240" w:after="0" w:line="240" w:lineRule="auto"/>
      <w:ind w:left="567" w:hanging="567"/>
      <w:jc w:val="both"/>
      <w:textAlignment w:val="baseline"/>
    </w:pPr>
    <w:rPr>
      <w:rFonts w:ascii="Times New Roman" w:eastAsia="Times New Roman" w:hAnsi="Times New Roman" w:cs="Times New Roman"/>
      <w:sz w:val="22"/>
      <w:szCs w:val="20"/>
      <w:lang w:val="es-ES_tradnl" w:eastAsia="es-ES"/>
    </w:rPr>
  </w:style>
  <w:style w:type="character" w:customStyle="1" w:styleId="Ttulo5Car">
    <w:name w:val="Título 5 Car"/>
    <w:basedOn w:val="Fuentedeprrafopredeter"/>
    <w:link w:val="Ttulo5"/>
    <w:rsid w:val="005272CC"/>
    <w:rPr>
      <w:rFonts w:ascii="Batang" w:eastAsia="Times New Roman" w:hAnsi="Batang" w:cs="Times New Roman"/>
      <w:b/>
      <w:bCs/>
      <w:sz w:val="18"/>
      <w:szCs w:val="24"/>
      <w:u w:val="single"/>
      <w:lang w:eastAsia="es-ES"/>
    </w:rPr>
  </w:style>
  <w:style w:type="paragraph" w:customStyle="1" w:styleId="not">
    <w:name w:val="not"/>
    <w:basedOn w:val="Normal"/>
    <w:rsid w:val="005272CC"/>
    <w:pPr>
      <w:keepLines/>
      <w:overflowPunct w:val="0"/>
      <w:autoSpaceDE w:val="0"/>
      <w:autoSpaceDN w:val="0"/>
      <w:adjustRightInd w:val="0"/>
      <w:spacing w:before="240" w:after="0" w:line="240" w:lineRule="auto"/>
      <w:ind w:left="851" w:hanging="284"/>
      <w:jc w:val="both"/>
      <w:textAlignment w:val="baseline"/>
    </w:pPr>
    <w:rPr>
      <w:rFonts w:ascii="Times New Roman" w:eastAsia="Times New Roman" w:hAnsi="Times New Roman" w:cs="Times New Roman"/>
      <w:sz w:val="22"/>
      <w:szCs w:val="20"/>
      <w:lang w:val="es-ES_tradnl" w:eastAsia="es-ES"/>
    </w:rPr>
  </w:style>
  <w:style w:type="character" w:customStyle="1" w:styleId="Ttulo3Car">
    <w:name w:val="Título 3 Car"/>
    <w:basedOn w:val="Fuentedeprrafopredeter"/>
    <w:link w:val="Ttulo3"/>
    <w:uiPriority w:val="9"/>
    <w:semiHidden/>
    <w:rsid w:val="008E3E27"/>
    <w:rPr>
      <w:rFonts w:asciiTheme="majorHAnsi" w:eastAsiaTheme="majorEastAsia" w:hAnsiTheme="majorHAnsi" w:cstheme="majorBidi"/>
      <w:color w:val="1F4D78" w:themeColor="accent1" w:themeShade="7F"/>
      <w:szCs w:val="24"/>
    </w:rPr>
  </w:style>
  <w:style w:type="table" w:styleId="Tablaconcuadrcula">
    <w:name w:val="Table Grid"/>
    <w:basedOn w:val="Tablanormal"/>
    <w:rsid w:val="008E3E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3E27"/>
    <w:pPr>
      <w:ind w:left="720"/>
      <w:contextualSpacing/>
    </w:pPr>
  </w:style>
  <w:style w:type="paragraph" w:styleId="Textodeglobo">
    <w:name w:val="Balloon Text"/>
    <w:basedOn w:val="Normal"/>
    <w:link w:val="TextodegloboCar"/>
    <w:uiPriority w:val="99"/>
    <w:semiHidden/>
    <w:unhideWhenUsed/>
    <w:rsid w:val="000A0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917"/>
    <w:rPr>
      <w:rFonts w:ascii="Segoe UI" w:hAnsi="Segoe UI" w:cs="Segoe UI"/>
      <w:sz w:val="18"/>
      <w:szCs w:val="18"/>
    </w:rPr>
  </w:style>
  <w:style w:type="paragraph" w:styleId="Revisin">
    <w:name w:val="Revision"/>
    <w:hidden/>
    <w:uiPriority w:val="99"/>
    <w:semiHidden/>
    <w:rsid w:val="003F6CA4"/>
    <w:pPr>
      <w:spacing w:after="0" w:line="240" w:lineRule="auto"/>
    </w:pPr>
  </w:style>
  <w:style w:type="paragraph" w:customStyle="1" w:styleId="Ttulo1a">
    <w:name w:val="Título 1a"/>
    <w:basedOn w:val="Normal"/>
    <w:next w:val="Normal"/>
    <w:rsid w:val="00111FA9"/>
    <w:pPr>
      <w:keepLines/>
      <w:widowControl w:val="0"/>
      <w:spacing w:after="0" w:line="240" w:lineRule="auto"/>
      <w:ind w:left="454"/>
      <w:jc w:val="both"/>
    </w:pPr>
    <w:rPr>
      <w:rFonts w:ascii="Times New Roman" w:eastAsia="Times New Roman" w:hAnsi="Times New Roman" w:cs="Times New Roman"/>
      <w:sz w:val="22"/>
      <w:szCs w:val="20"/>
      <w:lang w:val="es-ES_tradnl" w:eastAsia="es-ES"/>
    </w:rPr>
  </w:style>
  <w:style w:type="paragraph" w:styleId="Lista">
    <w:name w:val="List"/>
    <w:basedOn w:val="Normal"/>
    <w:rsid w:val="00111FA9"/>
    <w:pPr>
      <w:spacing w:after="0" w:line="240" w:lineRule="auto"/>
      <w:ind w:left="283" w:hanging="283"/>
    </w:pPr>
    <w:rPr>
      <w:rFonts w:ascii="Arial" w:eastAsia="Times New Roman" w:hAnsi="Arial" w:cs="Times New Roman"/>
      <w:szCs w:val="24"/>
      <w:lang w:eastAsia="es-ES"/>
    </w:rPr>
  </w:style>
  <w:style w:type="paragraph" w:customStyle="1" w:styleId="ta">
    <w:name w:val="ta"/>
    <w:basedOn w:val="Normal"/>
    <w:rsid w:val="00111FA9"/>
    <w:pPr>
      <w:overflowPunct w:val="0"/>
      <w:spacing w:before="240" w:after="0" w:line="240" w:lineRule="auto"/>
      <w:ind w:left="993" w:hanging="426"/>
      <w:jc w:val="both"/>
    </w:pPr>
    <w:rPr>
      <w:rFonts w:ascii="Times New Roman" w:eastAsia="Times New Roman" w:hAnsi="Times New Roman" w:cs="Times New Roman"/>
      <w:sz w:val="22"/>
      <w:lang w:eastAsia="es-ES"/>
    </w:rPr>
  </w:style>
  <w:style w:type="paragraph" w:styleId="Listaconnmeros">
    <w:name w:val="List Number"/>
    <w:basedOn w:val="Normal"/>
    <w:rsid w:val="00111FA9"/>
    <w:pPr>
      <w:numPr>
        <w:numId w:val="14"/>
      </w:numPr>
      <w:spacing w:after="0" w:line="240" w:lineRule="auto"/>
      <w:contextualSpacing/>
    </w:pPr>
    <w:rPr>
      <w:rFonts w:ascii="Arial" w:eastAsia="Times New Roman" w:hAnsi="Arial" w:cs="Times New Roman"/>
      <w:szCs w:val="24"/>
      <w:lang w:eastAsia="es-ES"/>
    </w:rPr>
  </w:style>
  <w:style w:type="character" w:styleId="Refdecomentario">
    <w:name w:val="annotation reference"/>
    <w:basedOn w:val="Fuentedeprrafopredeter"/>
    <w:uiPriority w:val="99"/>
    <w:semiHidden/>
    <w:unhideWhenUsed/>
    <w:rsid w:val="00AB5278"/>
    <w:rPr>
      <w:sz w:val="16"/>
      <w:szCs w:val="16"/>
    </w:rPr>
  </w:style>
  <w:style w:type="paragraph" w:styleId="Textocomentario">
    <w:name w:val="annotation text"/>
    <w:basedOn w:val="Normal"/>
    <w:link w:val="TextocomentarioCar"/>
    <w:uiPriority w:val="99"/>
    <w:semiHidden/>
    <w:unhideWhenUsed/>
    <w:rsid w:val="00AB52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5278"/>
    <w:rPr>
      <w:sz w:val="20"/>
      <w:szCs w:val="20"/>
    </w:rPr>
  </w:style>
  <w:style w:type="paragraph" w:styleId="Asuntodelcomentario">
    <w:name w:val="annotation subject"/>
    <w:basedOn w:val="Textocomentario"/>
    <w:next w:val="Textocomentario"/>
    <w:link w:val="AsuntodelcomentarioCar"/>
    <w:uiPriority w:val="99"/>
    <w:semiHidden/>
    <w:unhideWhenUsed/>
    <w:rsid w:val="00AB5278"/>
    <w:rPr>
      <w:b/>
      <w:bCs/>
    </w:rPr>
  </w:style>
  <w:style w:type="character" w:customStyle="1" w:styleId="AsuntodelcomentarioCar">
    <w:name w:val="Asunto del comentario Car"/>
    <w:basedOn w:val="TextocomentarioCar"/>
    <w:link w:val="Asuntodelcomentario"/>
    <w:uiPriority w:val="99"/>
    <w:semiHidden/>
    <w:rsid w:val="00AB5278"/>
    <w:rPr>
      <w:b/>
      <w:bCs/>
      <w:sz w:val="20"/>
      <w:szCs w:val="20"/>
    </w:rPr>
  </w:style>
  <w:style w:type="paragraph" w:customStyle="1" w:styleId="articulo">
    <w:name w:val="articulo"/>
    <w:basedOn w:val="Normal"/>
    <w:rsid w:val="008B3B63"/>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8B3B63"/>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Ttulo1Car">
    <w:name w:val="Título 1 Car"/>
    <w:basedOn w:val="Fuentedeprrafopredeter"/>
    <w:link w:val="Ttulo1"/>
    <w:uiPriority w:val="9"/>
    <w:rsid w:val="004C03B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semiHidden/>
    <w:rsid w:val="002A756F"/>
    <w:pPr>
      <w:autoSpaceDE w:val="0"/>
      <w:autoSpaceDN w:val="0"/>
      <w:adjustRightInd w:val="0"/>
      <w:spacing w:after="120" w:line="240" w:lineRule="auto"/>
      <w:jc w:val="both"/>
    </w:pPr>
    <w:rPr>
      <w:rFonts w:ascii="Arial" w:eastAsia="Times New Roman" w:hAnsi="Arial" w:cs="Arial"/>
      <w:color w:val="000000"/>
      <w:szCs w:val="24"/>
      <w:lang w:eastAsia="es-ES"/>
    </w:rPr>
  </w:style>
  <w:style w:type="character" w:customStyle="1" w:styleId="TextoindependienteCar">
    <w:name w:val="Texto independiente Car"/>
    <w:basedOn w:val="Fuentedeprrafopredeter"/>
    <w:link w:val="Textoindependiente"/>
    <w:semiHidden/>
    <w:rsid w:val="002A756F"/>
    <w:rPr>
      <w:rFonts w:ascii="Arial" w:eastAsia="Times New Roman" w:hAnsi="Arial" w:cs="Arial"/>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7063">
      <w:bodyDiv w:val="1"/>
      <w:marLeft w:val="0"/>
      <w:marRight w:val="0"/>
      <w:marTop w:val="0"/>
      <w:marBottom w:val="0"/>
      <w:divBdr>
        <w:top w:val="none" w:sz="0" w:space="0" w:color="auto"/>
        <w:left w:val="none" w:sz="0" w:space="0" w:color="auto"/>
        <w:bottom w:val="none" w:sz="0" w:space="0" w:color="auto"/>
        <w:right w:val="none" w:sz="0" w:space="0" w:color="auto"/>
      </w:divBdr>
    </w:div>
    <w:div w:id="231625575">
      <w:bodyDiv w:val="1"/>
      <w:marLeft w:val="0"/>
      <w:marRight w:val="0"/>
      <w:marTop w:val="0"/>
      <w:marBottom w:val="0"/>
      <w:divBdr>
        <w:top w:val="none" w:sz="0" w:space="0" w:color="auto"/>
        <w:left w:val="none" w:sz="0" w:space="0" w:color="auto"/>
        <w:bottom w:val="none" w:sz="0" w:space="0" w:color="auto"/>
        <w:right w:val="none" w:sz="0" w:space="0" w:color="auto"/>
      </w:divBdr>
    </w:div>
    <w:div w:id="251164760">
      <w:bodyDiv w:val="1"/>
      <w:marLeft w:val="0"/>
      <w:marRight w:val="0"/>
      <w:marTop w:val="0"/>
      <w:marBottom w:val="0"/>
      <w:divBdr>
        <w:top w:val="none" w:sz="0" w:space="0" w:color="auto"/>
        <w:left w:val="none" w:sz="0" w:space="0" w:color="auto"/>
        <w:bottom w:val="none" w:sz="0" w:space="0" w:color="auto"/>
        <w:right w:val="none" w:sz="0" w:space="0" w:color="auto"/>
      </w:divBdr>
    </w:div>
    <w:div w:id="368846660">
      <w:bodyDiv w:val="1"/>
      <w:marLeft w:val="0"/>
      <w:marRight w:val="0"/>
      <w:marTop w:val="0"/>
      <w:marBottom w:val="0"/>
      <w:divBdr>
        <w:top w:val="none" w:sz="0" w:space="0" w:color="auto"/>
        <w:left w:val="none" w:sz="0" w:space="0" w:color="auto"/>
        <w:bottom w:val="none" w:sz="0" w:space="0" w:color="auto"/>
        <w:right w:val="none" w:sz="0" w:space="0" w:color="auto"/>
      </w:divBdr>
    </w:div>
    <w:div w:id="398016190">
      <w:bodyDiv w:val="1"/>
      <w:marLeft w:val="0"/>
      <w:marRight w:val="0"/>
      <w:marTop w:val="0"/>
      <w:marBottom w:val="0"/>
      <w:divBdr>
        <w:top w:val="none" w:sz="0" w:space="0" w:color="auto"/>
        <w:left w:val="none" w:sz="0" w:space="0" w:color="auto"/>
        <w:bottom w:val="none" w:sz="0" w:space="0" w:color="auto"/>
        <w:right w:val="none" w:sz="0" w:space="0" w:color="auto"/>
      </w:divBdr>
    </w:div>
    <w:div w:id="403063368">
      <w:bodyDiv w:val="1"/>
      <w:marLeft w:val="0"/>
      <w:marRight w:val="0"/>
      <w:marTop w:val="0"/>
      <w:marBottom w:val="0"/>
      <w:divBdr>
        <w:top w:val="none" w:sz="0" w:space="0" w:color="auto"/>
        <w:left w:val="none" w:sz="0" w:space="0" w:color="auto"/>
        <w:bottom w:val="none" w:sz="0" w:space="0" w:color="auto"/>
        <w:right w:val="none" w:sz="0" w:space="0" w:color="auto"/>
      </w:divBdr>
    </w:div>
    <w:div w:id="403332750">
      <w:bodyDiv w:val="1"/>
      <w:marLeft w:val="0"/>
      <w:marRight w:val="0"/>
      <w:marTop w:val="0"/>
      <w:marBottom w:val="0"/>
      <w:divBdr>
        <w:top w:val="none" w:sz="0" w:space="0" w:color="auto"/>
        <w:left w:val="none" w:sz="0" w:space="0" w:color="auto"/>
        <w:bottom w:val="none" w:sz="0" w:space="0" w:color="auto"/>
        <w:right w:val="none" w:sz="0" w:space="0" w:color="auto"/>
      </w:divBdr>
    </w:div>
    <w:div w:id="405883944">
      <w:bodyDiv w:val="1"/>
      <w:marLeft w:val="0"/>
      <w:marRight w:val="0"/>
      <w:marTop w:val="0"/>
      <w:marBottom w:val="0"/>
      <w:divBdr>
        <w:top w:val="none" w:sz="0" w:space="0" w:color="auto"/>
        <w:left w:val="none" w:sz="0" w:space="0" w:color="auto"/>
        <w:bottom w:val="none" w:sz="0" w:space="0" w:color="auto"/>
        <w:right w:val="none" w:sz="0" w:space="0" w:color="auto"/>
      </w:divBdr>
    </w:div>
    <w:div w:id="441996888">
      <w:bodyDiv w:val="1"/>
      <w:marLeft w:val="0"/>
      <w:marRight w:val="0"/>
      <w:marTop w:val="0"/>
      <w:marBottom w:val="0"/>
      <w:divBdr>
        <w:top w:val="none" w:sz="0" w:space="0" w:color="auto"/>
        <w:left w:val="none" w:sz="0" w:space="0" w:color="auto"/>
        <w:bottom w:val="none" w:sz="0" w:space="0" w:color="auto"/>
        <w:right w:val="none" w:sz="0" w:space="0" w:color="auto"/>
      </w:divBdr>
    </w:div>
    <w:div w:id="510223231">
      <w:bodyDiv w:val="1"/>
      <w:marLeft w:val="0"/>
      <w:marRight w:val="0"/>
      <w:marTop w:val="0"/>
      <w:marBottom w:val="0"/>
      <w:divBdr>
        <w:top w:val="none" w:sz="0" w:space="0" w:color="auto"/>
        <w:left w:val="none" w:sz="0" w:space="0" w:color="auto"/>
        <w:bottom w:val="none" w:sz="0" w:space="0" w:color="auto"/>
        <w:right w:val="none" w:sz="0" w:space="0" w:color="auto"/>
      </w:divBdr>
    </w:div>
    <w:div w:id="682557705">
      <w:bodyDiv w:val="1"/>
      <w:marLeft w:val="0"/>
      <w:marRight w:val="0"/>
      <w:marTop w:val="0"/>
      <w:marBottom w:val="0"/>
      <w:divBdr>
        <w:top w:val="none" w:sz="0" w:space="0" w:color="auto"/>
        <w:left w:val="none" w:sz="0" w:space="0" w:color="auto"/>
        <w:bottom w:val="none" w:sz="0" w:space="0" w:color="auto"/>
        <w:right w:val="none" w:sz="0" w:space="0" w:color="auto"/>
      </w:divBdr>
    </w:div>
    <w:div w:id="746418239">
      <w:bodyDiv w:val="1"/>
      <w:marLeft w:val="0"/>
      <w:marRight w:val="0"/>
      <w:marTop w:val="0"/>
      <w:marBottom w:val="0"/>
      <w:divBdr>
        <w:top w:val="none" w:sz="0" w:space="0" w:color="auto"/>
        <w:left w:val="none" w:sz="0" w:space="0" w:color="auto"/>
        <w:bottom w:val="none" w:sz="0" w:space="0" w:color="auto"/>
        <w:right w:val="none" w:sz="0" w:space="0" w:color="auto"/>
      </w:divBdr>
    </w:div>
    <w:div w:id="833423281">
      <w:bodyDiv w:val="1"/>
      <w:marLeft w:val="0"/>
      <w:marRight w:val="0"/>
      <w:marTop w:val="0"/>
      <w:marBottom w:val="0"/>
      <w:divBdr>
        <w:top w:val="none" w:sz="0" w:space="0" w:color="auto"/>
        <w:left w:val="none" w:sz="0" w:space="0" w:color="auto"/>
        <w:bottom w:val="none" w:sz="0" w:space="0" w:color="auto"/>
        <w:right w:val="none" w:sz="0" w:space="0" w:color="auto"/>
      </w:divBdr>
    </w:div>
    <w:div w:id="870149931">
      <w:bodyDiv w:val="1"/>
      <w:marLeft w:val="0"/>
      <w:marRight w:val="0"/>
      <w:marTop w:val="0"/>
      <w:marBottom w:val="0"/>
      <w:divBdr>
        <w:top w:val="none" w:sz="0" w:space="0" w:color="auto"/>
        <w:left w:val="none" w:sz="0" w:space="0" w:color="auto"/>
        <w:bottom w:val="none" w:sz="0" w:space="0" w:color="auto"/>
        <w:right w:val="none" w:sz="0" w:space="0" w:color="auto"/>
      </w:divBdr>
    </w:div>
    <w:div w:id="935403803">
      <w:bodyDiv w:val="1"/>
      <w:marLeft w:val="0"/>
      <w:marRight w:val="0"/>
      <w:marTop w:val="0"/>
      <w:marBottom w:val="0"/>
      <w:divBdr>
        <w:top w:val="none" w:sz="0" w:space="0" w:color="auto"/>
        <w:left w:val="none" w:sz="0" w:space="0" w:color="auto"/>
        <w:bottom w:val="none" w:sz="0" w:space="0" w:color="auto"/>
        <w:right w:val="none" w:sz="0" w:space="0" w:color="auto"/>
      </w:divBdr>
    </w:div>
    <w:div w:id="962228636">
      <w:bodyDiv w:val="1"/>
      <w:marLeft w:val="0"/>
      <w:marRight w:val="0"/>
      <w:marTop w:val="0"/>
      <w:marBottom w:val="0"/>
      <w:divBdr>
        <w:top w:val="none" w:sz="0" w:space="0" w:color="auto"/>
        <w:left w:val="none" w:sz="0" w:space="0" w:color="auto"/>
        <w:bottom w:val="none" w:sz="0" w:space="0" w:color="auto"/>
        <w:right w:val="none" w:sz="0" w:space="0" w:color="auto"/>
      </w:divBdr>
    </w:div>
    <w:div w:id="1007173735">
      <w:bodyDiv w:val="1"/>
      <w:marLeft w:val="0"/>
      <w:marRight w:val="0"/>
      <w:marTop w:val="0"/>
      <w:marBottom w:val="0"/>
      <w:divBdr>
        <w:top w:val="none" w:sz="0" w:space="0" w:color="auto"/>
        <w:left w:val="none" w:sz="0" w:space="0" w:color="auto"/>
        <w:bottom w:val="none" w:sz="0" w:space="0" w:color="auto"/>
        <w:right w:val="none" w:sz="0" w:space="0" w:color="auto"/>
      </w:divBdr>
    </w:div>
    <w:div w:id="1033070935">
      <w:bodyDiv w:val="1"/>
      <w:marLeft w:val="0"/>
      <w:marRight w:val="0"/>
      <w:marTop w:val="0"/>
      <w:marBottom w:val="0"/>
      <w:divBdr>
        <w:top w:val="none" w:sz="0" w:space="0" w:color="auto"/>
        <w:left w:val="none" w:sz="0" w:space="0" w:color="auto"/>
        <w:bottom w:val="none" w:sz="0" w:space="0" w:color="auto"/>
        <w:right w:val="none" w:sz="0" w:space="0" w:color="auto"/>
      </w:divBdr>
    </w:div>
    <w:div w:id="1111314491">
      <w:bodyDiv w:val="1"/>
      <w:marLeft w:val="0"/>
      <w:marRight w:val="0"/>
      <w:marTop w:val="0"/>
      <w:marBottom w:val="0"/>
      <w:divBdr>
        <w:top w:val="none" w:sz="0" w:space="0" w:color="auto"/>
        <w:left w:val="none" w:sz="0" w:space="0" w:color="auto"/>
        <w:bottom w:val="none" w:sz="0" w:space="0" w:color="auto"/>
        <w:right w:val="none" w:sz="0" w:space="0" w:color="auto"/>
      </w:divBdr>
    </w:div>
    <w:div w:id="1302537422">
      <w:bodyDiv w:val="1"/>
      <w:marLeft w:val="0"/>
      <w:marRight w:val="0"/>
      <w:marTop w:val="0"/>
      <w:marBottom w:val="0"/>
      <w:divBdr>
        <w:top w:val="none" w:sz="0" w:space="0" w:color="auto"/>
        <w:left w:val="none" w:sz="0" w:space="0" w:color="auto"/>
        <w:bottom w:val="none" w:sz="0" w:space="0" w:color="auto"/>
        <w:right w:val="none" w:sz="0" w:space="0" w:color="auto"/>
      </w:divBdr>
    </w:div>
    <w:div w:id="1331834907">
      <w:bodyDiv w:val="1"/>
      <w:marLeft w:val="0"/>
      <w:marRight w:val="0"/>
      <w:marTop w:val="0"/>
      <w:marBottom w:val="0"/>
      <w:divBdr>
        <w:top w:val="none" w:sz="0" w:space="0" w:color="auto"/>
        <w:left w:val="none" w:sz="0" w:space="0" w:color="auto"/>
        <w:bottom w:val="none" w:sz="0" w:space="0" w:color="auto"/>
        <w:right w:val="none" w:sz="0" w:space="0" w:color="auto"/>
      </w:divBdr>
    </w:div>
    <w:div w:id="1365210893">
      <w:bodyDiv w:val="1"/>
      <w:marLeft w:val="0"/>
      <w:marRight w:val="0"/>
      <w:marTop w:val="0"/>
      <w:marBottom w:val="0"/>
      <w:divBdr>
        <w:top w:val="none" w:sz="0" w:space="0" w:color="auto"/>
        <w:left w:val="none" w:sz="0" w:space="0" w:color="auto"/>
        <w:bottom w:val="none" w:sz="0" w:space="0" w:color="auto"/>
        <w:right w:val="none" w:sz="0" w:space="0" w:color="auto"/>
      </w:divBdr>
    </w:div>
    <w:div w:id="1540629682">
      <w:bodyDiv w:val="1"/>
      <w:marLeft w:val="0"/>
      <w:marRight w:val="0"/>
      <w:marTop w:val="0"/>
      <w:marBottom w:val="0"/>
      <w:divBdr>
        <w:top w:val="none" w:sz="0" w:space="0" w:color="auto"/>
        <w:left w:val="none" w:sz="0" w:space="0" w:color="auto"/>
        <w:bottom w:val="none" w:sz="0" w:space="0" w:color="auto"/>
        <w:right w:val="none" w:sz="0" w:space="0" w:color="auto"/>
      </w:divBdr>
    </w:div>
    <w:div w:id="1556159085">
      <w:bodyDiv w:val="1"/>
      <w:marLeft w:val="0"/>
      <w:marRight w:val="0"/>
      <w:marTop w:val="0"/>
      <w:marBottom w:val="0"/>
      <w:divBdr>
        <w:top w:val="none" w:sz="0" w:space="0" w:color="auto"/>
        <w:left w:val="none" w:sz="0" w:space="0" w:color="auto"/>
        <w:bottom w:val="none" w:sz="0" w:space="0" w:color="auto"/>
        <w:right w:val="none" w:sz="0" w:space="0" w:color="auto"/>
      </w:divBdr>
    </w:div>
    <w:div w:id="1630673091">
      <w:bodyDiv w:val="1"/>
      <w:marLeft w:val="0"/>
      <w:marRight w:val="0"/>
      <w:marTop w:val="0"/>
      <w:marBottom w:val="0"/>
      <w:divBdr>
        <w:top w:val="none" w:sz="0" w:space="0" w:color="auto"/>
        <w:left w:val="none" w:sz="0" w:space="0" w:color="auto"/>
        <w:bottom w:val="none" w:sz="0" w:space="0" w:color="auto"/>
        <w:right w:val="none" w:sz="0" w:space="0" w:color="auto"/>
      </w:divBdr>
    </w:div>
    <w:div w:id="1642736705">
      <w:bodyDiv w:val="1"/>
      <w:marLeft w:val="0"/>
      <w:marRight w:val="0"/>
      <w:marTop w:val="0"/>
      <w:marBottom w:val="0"/>
      <w:divBdr>
        <w:top w:val="none" w:sz="0" w:space="0" w:color="auto"/>
        <w:left w:val="none" w:sz="0" w:space="0" w:color="auto"/>
        <w:bottom w:val="none" w:sz="0" w:space="0" w:color="auto"/>
        <w:right w:val="none" w:sz="0" w:space="0" w:color="auto"/>
      </w:divBdr>
    </w:div>
    <w:div w:id="1740592158">
      <w:bodyDiv w:val="1"/>
      <w:marLeft w:val="0"/>
      <w:marRight w:val="0"/>
      <w:marTop w:val="0"/>
      <w:marBottom w:val="0"/>
      <w:divBdr>
        <w:top w:val="none" w:sz="0" w:space="0" w:color="auto"/>
        <w:left w:val="none" w:sz="0" w:space="0" w:color="auto"/>
        <w:bottom w:val="none" w:sz="0" w:space="0" w:color="auto"/>
        <w:right w:val="none" w:sz="0" w:space="0" w:color="auto"/>
      </w:divBdr>
    </w:div>
    <w:div w:id="1929340179">
      <w:bodyDiv w:val="1"/>
      <w:marLeft w:val="0"/>
      <w:marRight w:val="0"/>
      <w:marTop w:val="0"/>
      <w:marBottom w:val="0"/>
      <w:divBdr>
        <w:top w:val="none" w:sz="0" w:space="0" w:color="auto"/>
        <w:left w:val="none" w:sz="0" w:space="0" w:color="auto"/>
        <w:bottom w:val="none" w:sz="0" w:space="0" w:color="auto"/>
        <w:right w:val="none" w:sz="0" w:space="0" w:color="auto"/>
      </w:divBdr>
    </w:div>
    <w:div w:id="1933969411">
      <w:bodyDiv w:val="1"/>
      <w:marLeft w:val="0"/>
      <w:marRight w:val="0"/>
      <w:marTop w:val="0"/>
      <w:marBottom w:val="0"/>
      <w:divBdr>
        <w:top w:val="none" w:sz="0" w:space="0" w:color="auto"/>
        <w:left w:val="none" w:sz="0" w:space="0" w:color="auto"/>
        <w:bottom w:val="none" w:sz="0" w:space="0" w:color="auto"/>
        <w:right w:val="none" w:sz="0" w:space="0" w:color="auto"/>
      </w:divBdr>
    </w:div>
    <w:div w:id="20662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3A3B-7029-4E0E-AA48-10DCD146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5233</Words>
  <Characters>28784</Characters>
  <Application>Microsoft Office Word</Application>
  <DocSecurity>0</DocSecurity>
  <Lines>239</Lines>
  <Paragraphs>67</Paragraphs>
  <ScaleCrop>false</ScaleCrop>
  <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2022-06-23T11:05:00Z</dcterms:created>
  <dcterms:modified xsi:type="dcterms:W3CDTF">2022-06-23T11:05:00Z</dcterms:modified>
</cp:coreProperties>
</file>